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3DD02D" w14:textId="559D6280" w:rsidR="00D82C18" w:rsidRPr="005202CB" w:rsidRDefault="005451BE" w:rsidP="005202CB">
      <w:pPr>
        <w:spacing w:before="120" w:after="120" w:line="260" w:lineRule="atLeast"/>
        <w:rPr>
          <w:rFonts w:ascii="Verdana" w:hAnsi="Verdana"/>
          <w:sz w:val="28"/>
        </w:rPr>
      </w:pPr>
      <w:r w:rsidRPr="005202CB">
        <w:rPr>
          <w:rFonts w:ascii="Verdana" w:hAnsi="Verdana"/>
          <w:sz w:val="28"/>
          <w:szCs w:val="28"/>
          <w:lang w:val="mk-MK"/>
        </w:rPr>
        <w:t>Лекција 2.4 (Процедурални овластувања според Конвенцијата од Будимпешта – Прв дел - онлајн верзија)</w:t>
      </w:r>
    </w:p>
    <w:p w14:paraId="1D0E3DC5" w14:textId="77777777" w:rsidR="00C115FC" w:rsidRPr="005202CB" w:rsidRDefault="00C115FC" w:rsidP="005202CB">
      <w:pPr>
        <w:spacing w:before="120" w:after="120" w:line="260" w:lineRule="atLeast"/>
        <w:ind w:left="360"/>
        <w:rPr>
          <w:rFonts w:ascii="Verdana" w:hAnsi="Verdana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5320"/>
        <w:gridCol w:w="2165"/>
      </w:tblGrid>
      <w:tr w:rsidR="00C115FC" w:rsidRPr="005202CB" w14:paraId="58A3485E" w14:textId="77777777" w:rsidTr="00AF47D2">
        <w:trPr>
          <w:trHeight w:val="872"/>
        </w:trPr>
        <w:tc>
          <w:tcPr>
            <w:tcW w:w="6845" w:type="dxa"/>
            <w:gridSpan w:val="2"/>
            <w:tcBorders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0067FF35" w14:textId="11D8AFAE" w:rsidR="00D82C18" w:rsidRPr="005202CB" w:rsidRDefault="005451BE" w:rsidP="005202CB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</w:rPr>
            </w:pPr>
            <w:r w:rsidRPr="005202CB">
              <w:rPr>
                <w:rFonts w:ascii="Verdana" w:hAnsi="Verdana"/>
                <w:sz w:val="22"/>
                <w:szCs w:val="22"/>
                <w:lang w:val="mk-MK"/>
              </w:rPr>
              <w:t>Лекција 2.4 Процедурални овластувања според Конвенцијата од Будимпешта – Прв дел</w:t>
            </w:r>
          </w:p>
        </w:tc>
        <w:tc>
          <w:tcPr>
            <w:tcW w:w="2165" w:type="dxa"/>
            <w:tcBorders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30B631DA" w14:textId="47A4DEB8" w:rsidR="00D82C18" w:rsidRPr="005202CB" w:rsidRDefault="005451BE" w:rsidP="005202CB">
            <w:pPr>
              <w:pStyle w:val="NoSpacing"/>
              <w:spacing w:before="120" w:after="120" w:line="260" w:lineRule="atLeast"/>
              <w:rPr>
                <w:rFonts w:ascii="Verdana" w:hAnsi="Verdana"/>
                <w:color w:val="FFFFFF"/>
                <w:sz w:val="22"/>
                <w:szCs w:val="22"/>
              </w:rPr>
            </w:pPr>
            <w:r w:rsidRPr="005202CB">
              <w:rPr>
                <w:rFonts w:ascii="Verdana" w:hAnsi="Verdana"/>
                <w:sz w:val="22"/>
                <w:szCs w:val="22"/>
                <w:lang w:val="mk-MK"/>
              </w:rPr>
              <w:t>Времетраење:</w:t>
            </w:r>
            <w:r w:rsidR="00D82C18" w:rsidRPr="005202CB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5202CB">
              <w:rPr>
                <w:rFonts w:ascii="Verdana" w:hAnsi="Verdana"/>
                <w:color w:val="000000" w:themeColor="text1"/>
                <w:sz w:val="22"/>
                <w:szCs w:val="22"/>
                <w:lang w:val="mk-MK"/>
              </w:rPr>
              <w:t>90 минути</w:t>
            </w:r>
            <w:r w:rsidR="00E13BE7" w:rsidRPr="005202CB">
              <w:rPr>
                <w:rFonts w:ascii="Verdana" w:hAnsi="Verdana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AF47D2" w:rsidRPr="005202CB" w14:paraId="08629872" w14:textId="77777777" w:rsidTr="00AF47D2">
        <w:trPr>
          <w:trHeight w:val="872"/>
        </w:trPr>
        <w:tc>
          <w:tcPr>
            <w:tcW w:w="9010" w:type="dxa"/>
            <w:gridSpan w:val="3"/>
            <w:shd w:val="clear" w:color="auto" w:fill="FFFFFF" w:themeFill="background1"/>
            <w:vAlign w:val="center"/>
          </w:tcPr>
          <w:p w14:paraId="1DBD885E" w14:textId="77777777" w:rsidR="00AF47D2" w:rsidRPr="005202CB" w:rsidRDefault="00AF47D2" w:rsidP="005202CB">
            <w:pPr>
              <w:pStyle w:val="NoSpacing"/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mk-MK"/>
              </w:rPr>
            </w:pPr>
            <w:r w:rsidRPr="005202CB">
              <w:rPr>
                <w:rFonts w:ascii="Verdana" w:hAnsi="Verdana"/>
                <w:b/>
                <w:sz w:val="22"/>
                <w:szCs w:val="22"/>
                <w:lang w:val="mk-MK"/>
              </w:rPr>
              <w:t xml:space="preserve">Потребни средства: </w:t>
            </w:r>
          </w:p>
          <w:p w14:paraId="334E04AB" w14:textId="693822D8" w:rsidR="00AF47D2" w:rsidRPr="005202CB" w:rsidRDefault="00AF47D2" w:rsidP="005202CB">
            <w:pPr>
              <w:pStyle w:val="NoSpacing"/>
              <w:numPr>
                <w:ilvl w:val="0"/>
                <w:numId w:val="14"/>
              </w:numPr>
              <w:spacing w:before="120" w:after="120" w:line="260" w:lineRule="atLeast"/>
              <w:rPr>
                <w:rFonts w:ascii="Verdana" w:hAnsi="Verdana"/>
                <w:sz w:val="18"/>
                <w:szCs w:val="18"/>
                <w:lang w:val="mk-MK"/>
              </w:rPr>
            </w:pPr>
            <w:r w:rsidRPr="005202CB">
              <w:rPr>
                <w:rFonts w:ascii="Verdana" w:hAnsi="Verdana"/>
                <w:sz w:val="18"/>
                <w:szCs w:val="18"/>
                <w:lang w:val="mk-MK"/>
              </w:rPr>
              <w:t>Персонален компјутер/</w:t>
            </w:r>
            <w:r w:rsidR="004C331D" w:rsidRPr="005202CB">
              <w:rPr>
                <w:rFonts w:ascii="Verdana" w:hAnsi="Verdana"/>
                <w:sz w:val="18"/>
                <w:szCs w:val="18"/>
                <w:lang w:val="mk-MK"/>
              </w:rPr>
              <w:t>л</w:t>
            </w:r>
            <w:r w:rsidRPr="005202CB">
              <w:rPr>
                <w:rFonts w:ascii="Verdana" w:hAnsi="Verdana"/>
                <w:sz w:val="18"/>
                <w:szCs w:val="18"/>
                <w:lang w:val="mk-MK"/>
              </w:rPr>
              <w:t>аптоп опремен со софтверски верзии компатибилни со подготвените материјали</w:t>
            </w:r>
          </w:p>
          <w:p w14:paraId="0A9BF073" w14:textId="359DE9F8" w:rsidR="00AF47D2" w:rsidRPr="005202CB" w:rsidRDefault="00AF47D2" w:rsidP="005202CB">
            <w:pPr>
              <w:pStyle w:val="NoSpacing"/>
              <w:numPr>
                <w:ilvl w:val="0"/>
                <w:numId w:val="14"/>
              </w:numPr>
              <w:spacing w:before="120" w:after="120" w:line="260" w:lineRule="atLeast"/>
              <w:rPr>
                <w:rFonts w:ascii="Verdana" w:hAnsi="Verdana"/>
                <w:sz w:val="18"/>
                <w:szCs w:val="18"/>
                <w:lang w:val="mk-MK"/>
              </w:rPr>
            </w:pPr>
            <w:r w:rsidRPr="005202CB">
              <w:rPr>
                <w:rFonts w:ascii="Verdana" w:hAnsi="Verdana"/>
                <w:sz w:val="18"/>
                <w:szCs w:val="18"/>
                <w:lang w:val="mk-MK"/>
              </w:rPr>
              <w:t>Пристап до софтвер</w:t>
            </w:r>
            <w:r w:rsidR="004C331D" w:rsidRPr="005202CB">
              <w:rPr>
                <w:rFonts w:ascii="Verdana" w:hAnsi="Verdana"/>
                <w:sz w:val="18"/>
                <w:szCs w:val="18"/>
                <w:lang w:val="mk-MK"/>
              </w:rPr>
              <w:t>/</w:t>
            </w:r>
            <w:r w:rsidRPr="005202CB">
              <w:rPr>
                <w:rFonts w:ascii="Verdana" w:hAnsi="Verdana"/>
                <w:sz w:val="18"/>
                <w:szCs w:val="18"/>
                <w:lang w:val="mk-MK"/>
              </w:rPr>
              <w:t xml:space="preserve">платформа за онлајн </w:t>
            </w:r>
            <w:r w:rsidR="004C331D" w:rsidRPr="005202CB">
              <w:rPr>
                <w:rFonts w:ascii="Verdana" w:hAnsi="Verdana"/>
                <w:sz w:val="18"/>
                <w:szCs w:val="18"/>
                <w:lang w:val="mk-MK"/>
              </w:rPr>
              <w:t>конференции</w:t>
            </w:r>
          </w:p>
          <w:p w14:paraId="340CFB49" w14:textId="77777777" w:rsidR="00AF47D2" w:rsidRPr="005202CB" w:rsidRDefault="00AF47D2" w:rsidP="005202CB">
            <w:pPr>
              <w:pStyle w:val="NoSpacing"/>
              <w:numPr>
                <w:ilvl w:val="0"/>
                <w:numId w:val="14"/>
              </w:numPr>
              <w:spacing w:before="120" w:after="120" w:line="260" w:lineRule="atLeast"/>
              <w:rPr>
                <w:rFonts w:ascii="Verdana" w:hAnsi="Verdana"/>
                <w:sz w:val="18"/>
                <w:szCs w:val="18"/>
                <w:lang w:val="mk-MK"/>
              </w:rPr>
            </w:pPr>
            <w:r w:rsidRPr="005202CB">
              <w:rPr>
                <w:rFonts w:ascii="Verdana" w:hAnsi="Verdana"/>
                <w:sz w:val="18"/>
                <w:szCs w:val="18"/>
                <w:lang w:val="mk-MK"/>
              </w:rPr>
              <w:t>Пристап до интернет</w:t>
            </w:r>
          </w:p>
          <w:p w14:paraId="6AE4B439" w14:textId="6D821FDB" w:rsidR="00AF47D2" w:rsidRPr="005202CB" w:rsidRDefault="00AF47D2" w:rsidP="005202CB">
            <w:pPr>
              <w:pStyle w:val="NoSpacing"/>
              <w:numPr>
                <w:ilvl w:val="0"/>
                <w:numId w:val="14"/>
              </w:numPr>
              <w:spacing w:before="120" w:after="120" w:line="260" w:lineRule="atLeast"/>
              <w:rPr>
                <w:rFonts w:ascii="Verdana" w:hAnsi="Verdana"/>
                <w:sz w:val="18"/>
                <w:szCs w:val="18"/>
                <w:lang w:val="mk-MK"/>
              </w:rPr>
            </w:pPr>
            <w:r w:rsidRPr="005202CB">
              <w:rPr>
                <w:rFonts w:ascii="Verdana" w:hAnsi="Verdana"/>
                <w:sz w:val="18"/>
                <w:szCs w:val="18"/>
                <w:lang w:val="mk-MK"/>
              </w:rPr>
              <w:t>Бележници и пенкала за студентите</w:t>
            </w:r>
          </w:p>
          <w:p w14:paraId="1D66B60B" w14:textId="05438562" w:rsidR="00AF47D2" w:rsidRPr="005202CB" w:rsidRDefault="00AF47D2" w:rsidP="005202CB">
            <w:pPr>
              <w:pStyle w:val="NoSpacing"/>
              <w:numPr>
                <w:ilvl w:val="0"/>
                <w:numId w:val="14"/>
              </w:numPr>
              <w:spacing w:before="120" w:after="120" w:line="260" w:lineRule="atLeast"/>
              <w:rPr>
                <w:rFonts w:ascii="Verdana" w:hAnsi="Verdana"/>
                <w:sz w:val="18"/>
                <w:szCs w:val="18"/>
                <w:lang w:val="mk-MK"/>
              </w:rPr>
            </w:pPr>
            <w:r w:rsidRPr="005202CB">
              <w:rPr>
                <w:rFonts w:ascii="Verdana" w:hAnsi="Verdana"/>
                <w:sz w:val="18"/>
                <w:szCs w:val="18"/>
                <w:lang w:val="mk-MK"/>
              </w:rPr>
              <w:t>Копија од Конвенцијата од Будимпешта</w:t>
            </w:r>
          </w:p>
        </w:tc>
      </w:tr>
      <w:tr w:rsidR="00E7344B" w:rsidRPr="005202CB" w14:paraId="635F2EFD" w14:textId="77777777" w:rsidTr="00F1574D">
        <w:trPr>
          <w:trHeight w:val="2879"/>
        </w:trPr>
        <w:tc>
          <w:tcPr>
            <w:tcW w:w="9010" w:type="dxa"/>
            <w:gridSpan w:val="3"/>
            <w:vAlign w:val="center"/>
          </w:tcPr>
          <w:p w14:paraId="5857D0E6" w14:textId="77777777" w:rsidR="00AF47D2" w:rsidRPr="005202CB" w:rsidRDefault="00AF47D2" w:rsidP="005202CB">
            <w:pPr>
              <w:pStyle w:val="NoSpacing"/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mk-MK"/>
              </w:rPr>
            </w:pPr>
            <w:r w:rsidRPr="005202CB">
              <w:rPr>
                <w:rFonts w:ascii="Verdana" w:hAnsi="Verdana"/>
                <w:b/>
                <w:sz w:val="22"/>
                <w:szCs w:val="22"/>
                <w:lang w:val="mk-MK"/>
              </w:rPr>
              <w:t>Цел на сесијата:</w:t>
            </w:r>
          </w:p>
          <w:p w14:paraId="3FE58655" w14:textId="0A60C17E" w:rsidR="00A03CF0" w:rsidRPr="005202CB" w:rsidRDefault="00AF47D2" w:rsidP="005202CB">
            <w:pPr>
              <w:pStyle w:val="NoSpacing"/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mk-MK"/>
              </w:rPr>
            </w:pPr>
            <w:r w:rsidRPr="005202CB">
              <w:rPr>
                <w:rFonts w:ascii="Verdana" w:hAnsi="Verdana"/>
                <w:sz w:val="18"/>
                <w:szCs w:val="18"/>
                <w:lang w:val="mk-MK"/>
              </w:rPr>
              <w:t xml:space="preserve">Целта на оваа сесија е да им обезбеди на </w:t>
            </w:r>
            <w:r w:rsidR="004C331D" w:rsidRPr="005202CB">
              <w:rPr>
                <w:rFonts w:ascii="Verdana" w:hAnsi="Verdana"/>
                <w:sz w:val="18"/>
                <w:szCs w:val="18"/>
                <w:lang w:val="mk-MK"/>
              </w:rPr>
              <w:t>претставници</w:t>
            </w:r>
            <w:r w:rsidRPr="005202CB">
              <w:rPr>
                <w:rFonts w:ascii="Verdana" w:hAnsi="Verdana"/>
                <w:sz w:val="18"/>
                <w:szCs w:val="18"/>
                <w:lang w:val="mk-MK"/>
              </w:rPr>
              <w:t xml:space="preserve">те сеопфатно разбирање за елементите на процедуралните овластувања поврзани со зачувување на складирани компјутерски податоци, делумно откривање на </w:t>
            </w:r>
            <w:r w:rsidR="006C3F89" w:rsidRPr="005202CB">
              <w:rPr>
                <w:rFonts w:ascii="Verdana" w:hAnsi="Verdana"/>
                <w:sz w:val="18"/>
                <w:szCs w:val="18"/>
                <w:lang w:val="mk-MK"/>
              </w:rPr>
              <w:t xml:space="preserve">податочен сообраќај (traffic data) </w:t>
            </w:r>
            <w:r w:rsidRPr="005202CB">
              <w:rPr>
                <w:rFonts w:ascii="Verdana" w:hAnsi="Verdana"/>
                <w:sz w:val="18"/>
                <w:szCs w:val="18"/>
                <w:lang w:val="mk-MK"/>
              </w:rPr>
              <w:t>и на</w:t>
            </w:r>
            <w:r w:rsidR="006C3F89" w:rsidRPr="005202CB">
              <w:rPr>
                <w:rFonts w:ascii="Verdana" w:hAnsi="Verdana"/>
                <w:sz w:val="18"/>
                <w:szCs w:val="18"/>
                <w:lang w:val="mk-MK"/>
              </w:rPr>
              <w:t>лог</w:t>
            </w:r>
            <w:r w:rsidRPr="005202CB">
              <w:rPr>
                <w:rFonts w:ascii="Verdana" w:hAnsi="Verdana"/>
                <w:sz w:val="18"/>
                <w:szCs w:val="18"/>
                <w:lang w:val="mk-MK"/>
              </w:rPr>
              <w:t xml:space="preserve"> за </w:t>
            </w:r>
            <w:r w:rsidR="006C3F89" w:rsidRPr="005202CB">
              <w:rPr>
                <w:rFonts w:ascii="Verdana" w:hAnsi="Verdana"/>
                <w:sz w:val="18"/>
                <w:szCs w:val="18"/>
                <w:lang w:val="mk-MK"/>
              </w:rPr>
              <w:t>генерирање</w:t>
            </w:r>
            <w:r w:rsidRPr="005202CB">
              <w:rPr>
                <w:rFonts w:ascii="Verdana" w:hAnsi="Verdana"/>
                <w:sz w:val="18"/>
                <w:szCs w:val="18"/>
                <w:lang w:val="mk-MK"/>
              </w:rPr>
              <w:t>, оп</w:t>
            </w:r>
            <w:r w:rsidR="006C3F89" w:rsidRPr="005202CB">
              <w:rPr>
                <w:rFonts w:ascii="Verdana" w:hAnsi="Verdana"/>
                <w:sz w:val="18"/>
                <w:szCs w:val="18"/>
                <w:lang w:val="mk-MK"/>
              </w:rPr>
              <w:t>фат</w:t>
            </w:r>
            <w:r w:rsidRPr="005202CB">
              <w:rPr>
                <w:rFonts w:ascii="Verdana" w:hAnsi="Verdana"/>
                <w:sz w:val="18"/>
                <w:szCs w:val="18"/>
                <w:lang w:val="mk-MK"/>
              </w:rPr>
              <w:t xml:space="preserve"> на процедурални</w:t>
            </w:r>
            <w:r w:rsidR="006C3F89" w:rsidRPr="005202CB">
              <w:rPr>
                <w:rFonts w:ascii="Verdana" w:hAnsi="Verdana"/>
                <w:sz w:val="18"/>
                <w:szCs w:val="18"/>
                <w:lang w:val="mk-MK"/>
              </w:rPr>
              <w:t>те</w:t>
            </w:r>
            <w:r w:rsidRPr="005202CB">
              <w:rPr>
                <w:rFonts w:ascii="Verdana" w:hAnsi="Verdana"/>
                <w:sz w:val="18"/>
                <w:szCs w:val="18"/>
                <w:lang w:val="mk-MK"/>
              </w:rPr>
              <w:t xml:space="preserve"> овластувања и услови и гаранции поврзани со нивната примена. Сесијата детално го опфаќа секој елемент од член 14 (опфат на процесни одредби), член 15 (услови и гаранции), член 16 (експедитивно зачувување на складирани компјутерски податоци), член 17 (експедитивно зачувување и делумно откривање на подато</w:t>
            </w:r>
            <w:r w:rsidR="006C3F89" w:rsidRPr="005202CB">
              <w:rPr>
                <w:rFonts w:ascii="Verdana" w:hAnsi="Verdana"/>
                <w:sz w:val="18"/>
                <w:szCs w:val="18"/>
                <w:lang w:val="mk-MK"/>
              </w:rPr>
              <w:t>чен сообраќај</w:t>
            </w:r>
            <w:r w:rsidRPr="005202CB">
              <w:rPr>
                <w:rFonts w:ascii="Verdana" w:hAnsi="Verdana"/>
                <w:sz w:val="18"/>
                <w:szCs w:val="18"/>
                <w:lang w:val="mk-MK"/>
              </w:rPr>
              <w:t>), член 18 (на</w:t>
            </w:r>
            <w:r w:rsidR="006C3F89" w:rsidRPr="005202CB">
              <w:rPr>
                <w:rFonts w:ascii="Verdana" w:hAnsi="Verdana"/>
                <w:sz w:val="18"/>
                <w:szCs w:val="18"/>
                <w:lang w:val="mk-MK"/>
              </w:rPr>
              <w:t>лог</w:t>
            </w:r>
            <w:r w:rsidRPr="005202CB">
              <w:rPr>
                <w:rFonts w:ascii="Verdana" w:hAnsi="Verdana"/>
                <w:sz w:val="18"/>
                <w:szCs w:val="18"/>
                <w:lang w:val="mk-MK"/>
              </w:rPr>
              <w:t xml:space="preserve"> за </w:t>
            </w:r>
            <w:r w:rsidR="006C3F89" w:rsidRPr="005202CB">
              <w:rPr>
                <w:rFonts w:ascii="Verdana" w:hAnsi="Verdana"/>
                <w:sz w:val="18"/>
                <w:szCs w:val="18"/>
                <w:lang w:val="mk-MK"/>
              </w:rPr>
              <w:t>генерирање</w:t>
            </w:r>
            <w:r w:rsidRPr="005202CB">
              <w:rPr>
                <w:rFonts w:ascii="Verdana" w:hAnsi="Verdana"/>
                <w:sz w:val="18"/>
                <w:szCs w:val="18"/>
                <w:lang w:val="mk-MK"/>
              </w:rPr>
              <w:t>) од Конвенцијата од Будимпешта.</w:t>
            </w:r>
          </w:p>
        </w:tc>
      </w:tr>
      <w:tr w:rsidR="00A03CF0" w:rsidRPr="005202CB" w14:paraId="1B5A80A7" w14:textId="77777777" w:rsidTr="00325B4C">
        <w:trPr>
          <w:trHeight w:val="890"/>
        </w:trPr>
        <w:tc>
          <w:tcPr>
            <w:tcW w:w="9010" w:type="dxa"/>
            <w:gridSpan w:val="3"/>
            <w:vAlign w:val="center"/>
          </w:tcPr>
          <w:p w14:paraId="559A7E05" w14:textId="5213715A" w:rsidR="00A03CF0" w:rsidRPr="005202CB" w:rsidRDefault="005605C7" w:rsidP="005202CB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mk-MK"/>
              </w:rPr>
            </w:pPr>
            <w:r w:rsidRPr="005202CB">
              <w:rPr>
                <w:rFonts w:ascii="Verdana" w:hAnsi="Verdana"/>
                <w:b/>
                <w:sz w:val="22"/>
                <w:szCs w:val="22"/>
                <w:lang w:val="mk-MK"/>
              </w:rPr>
              <w:t>Цели:</w:t>
            </w:r>
          </w:p>
          <w:p w14:paraId="7552C5F6" w14:textId="5525EF57" w:rsidR="000F7896" w:rsidRPr="005202CB" w:rsidRDefault="005605C7" w:rsidP="005202CB">
            <w:pPr>
              <w:tabs>
                <w:tab w:val="left" w:pos="426"/>
                <w:tab w:val="left" w:pos="851"/>
              </w:tabs>
              <w:spacing w:before="120" w:after="120" w:line="260" w:lineRule="atLeast"/>
              <w:rPr>
                <w:rFonts w:ascii="Verdana" w:eastAsia="Times New Roman" w:hAnsi="Verdana" w:cs="Times New Roman"/>
                <w:sz w:val="18"/>
                <w:szCs w:val="18"/>
                <w:lang w:val="mk-MK"/>
              </w:rPr>
            </w:pPr>
            <w:r w:rsidRPr="005202CB">
              <w:rPr>
                <w:rFonts w:ascii="Verdana" w:eastAsia="Times New Roman" w:hAnsi="Verdana" w:cs="Times New Roman"/>
                <w:sz w:val="18"/>
                <w:szCs w:val="18"/>
                <w:lang w:val="mk-MK"/>
              </w:rPr>
              <w:t xml:space="preserve">На крајот на оваа сесија, </w:t>
            </w:r>
            <w:r w:rsidR="004C331D" w:rsidRPr="005202CB">
              <w:rPr>
                <w:rFonts w:ascii="Verdana" w:eastAsia="Times New Roman" w:hAnsi="Verdana" w:cs="Times New Roman"/>
                <w:sz w:val="18"/>
                <w:szCs w:val="18"/>
                <w:lang w:val="mk-MK"/>
              </w:rPr>
              <w:t>претставници</w:t>
            </w:r>
            <w:r w:rsidRPr="005202CB">
              <w:rPr>
                <w:rFonts w:ascii="Verdana" w:eastAsia="Times New Roman" w:hAnsi="Verdana" w:cs="Times New Roman"/>
                <w:sz w:val="18"/>
                <w:szCs w:val="18"/>
                <w:lang w:val="mk-MK"/>
              </w:rPr>
              <w:t>те ќе можат да:</w:t>
            </w:r>
          </w:p>
          <w:p w14:paraId="37F1EA8A" w14:textId="7877A14F" w:rsidR="00394E20" w:rsidRPr="005202CB" w:rsidRDefault="005605C7" w:rsidP="005202CB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</w:pPr>
            <w:r w:rsidRPr="005202CB">
              <w:rPr>
                <w:lang w:val="mk-MK"/>
              </w:rPr>
              <w:t>Ги идентификуваат елементите на процедуралните овластувања за:</w:t>
            </w:r>
            <w:r w:rsidR="00394E20" w:rsidRPr="005202CB">
              <w:rPr>
                <w:lang w:val="mk-MK"/>
              </w:rPr>
              <w:t xml:space="preserve">  </w:t>
            </w:r>
          </w:p>
          <w:p w14:paraId="56BF8001" w14:textId="20743DA6" w:rsidR="00394E20" w:rsidRPr="005202CB" w:rsidRDefault="005605C7" w:rsidP="005202CB">
            <w:pPr>
              <w:pStyle w:val="bul1"/>
              <w:numPr>
                <w:ilvl w:val="0"/>
                <w:numId w:val="13"/>
              </w:numPr>
              <w:spacing w:before="120" w:after="120" w:line="260" w:lineRule="atLeast"/>
            </w:pPr>
            <w:r w:rsidRPr="005202CB">
              <w:rPr>
                <w:lang w:val="mk-MK"/>
              </w:rPr>
              <w:t>Претрес и заплена на складирани компјутерски податоци</w:t>
            </w:r>
            <w:r w:rsidR="00192BC7" w:rsidRPr="005202CB">
              <w:t xml:space="preserve"> </w:t>
            </w:r>
          </w:p>
          <w:p w14:paraId="0B9E9855" w14:textId="45B5AA70" w:rsidR="00394E20" w:rsidRPr="005202CB" w:rsidRDefault="00381091" w:rsidP="005202CB">
            <w:pPr>
              <w:pStyle w:val="bul1"/>
              <w:numPr>
                <w:ilvl w:val="0"/>
                <w:numId w:val="13"/>
              </w:numPr>
              <w:spacing w:before="120" w:after="120" w:line="260" w:lineRule="atLeast"/>
            </w:pPr>
            <w:r w:rsidRPr="005202CB">
              <w:rPr>
                <w:lang w:val="mk-MK"/>
              </w:rPr>
              <w:t>Преземање</w:t>
            </w:r>
            <w:r w:rsidR="00D26A00" w:rsidRPr="005202CB">
              <w:rPr>
                <w:lang w:val="mk-MK"/>
              </w:rPr>
              <w:t xml:space="preserve"> на </w:t>
            </w:r>
            <w:r w:rsidRPr="005202CB">
              <w:rPr>
                <w:lang w:val="mk-MK"/>
              </w:rPr>
              <w:t>податочен сообраќај (од мрежа)</w:t>
            </w:r>
            <w:r w:rsidR="00D26A00" w:rsidRPr="005202CB">
              <w:rPr>
                <w:lang w:val="mk-MK"/>
              </w:rPr>
              <w:t xml:space="preserve"> во реално време</w:t>
            </w:r>
          </w:p>
          <w:p w14:paraId="4546C782" w14:textId="4D8093DC" w:rsidR="001E7389" w:rsidRPr="005202CB" w:rsidRDefault="006C3F89" w:rsidP="005202CB">
            <w:pPr>
              <w:pStyle w:val="bul1"/>
              <w:numPr>
                <w:ilvl w:val="0"/>
                <w:numId w:val="13"/>
              </w:numPr>
              <w:spacing w:before="120" w:after="120" w:line="260" w:lineRule="atLeast"/>
            </w:pPr>
            <w:r w:rsidRPr="005202CB">
              <w:rPr>
                <w:lang w:val="mk-MK"/>
              </w:rPr>
              <w:t xml:space="preserve">Следење </w:t>
            </w:r>
            <w:r w:rsidR="00D26A00" w:rsidRPr="005202CB">
              <w:rPr>
                <w:lang w:val="mk-MK"/>
              </w:rPr>
              <w:t>на содржи</w:t>
            </w:r>
            <w:r w:rsidRPr="005202CB">
              <w:rPr>
                <w:lang w:val="mk-MK"/>
              </w:rPr>
              <w:t>ни (</w:t>
            </w:r>
            <w:proofErr w:type="spellStart"/>
            <w:r w:rsidRPr="005202CB">
              <w:t>content</w:t>
            </w:r>
            <w:proofErr w:type="spellEnd"/>
            <w:r w:rsidRPr="005202CB">
              <w:t xml:space="preserve"> </w:t>
            </w:r>
            <w:proofErr w:type="spellStart"/>
            <w:r w:rsidRPr="005202CB">
              <w:t>data</w:t>
            </w:r>
            <w:proofErr w:type="spellEnd"/>
            <w:r w:rsidRPr="005202CB">
              <w:t>)</w:t>
            </w:r>
          </w:p>
          <w:p w14:paraId="61ABEAC5" w14:textId="5E681EAC" w:rsidR="00192BC7" w:rsidRPr="005202CB" w:rsidRDefault="00D26A00" w:rsidP="005202CB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</w:pPr>
            <w:r w:rsidRPr="005202CB">
              <w:rPr>
                <w:lang w:val="mk-MK"/>
              </w:rPr>
              <w:t>Го разберат оп</w:t>
            </w:r>
            <w:r w:rsidR="00A26382" w:rsidRPr="005202CB">
              <w:rPr>
                <w:lang w:val="mk-MK"/>
              </w:rPr>
              <w:t>фатот</w:t>
            </w:r>
            <w:r w:rsidRPr="005202CB">
              <w:rPr>
                <w:lang w:val="mk-MK"/>
              </w:rPr>
              <w:t xml:space="preserve"> на судската надлежност на Конвенцијата од Будимпешта.</w:t>
            </w:r>
          </w:p>
        </w:tc>
      </w:tr>
      <w:tr w:rsidR="005703B7" w:rsidRPr="005202CB" w14:paraId="03110757" w14:textId="77777777" w:rsidTr="005202CB">
        <w:trPr>
          <w:trHeight w:val="3806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5B6D831A" w:rsidR="005703B7" w:rsidRPr="005202CB" w:rsidRDefault="00D26A00" w:rsidP="005202CB">
            <w:pPr>
              <w:spacing w:before="120" w:after="120" w:line="260" w:lineRule="atLeast"/>
              <w:rPr>
                <w:rFonts w:ascii="Verdana" w:hAnsi="Verdana"/>
                <w:b/>
                <w:color w:val="000000" w:themeColor="text1"/>
                <w:sz w:val="22"/>
                <w:szCs w:val="22"/>
                <w:lang w:val="de-DE"/>
              </w:rPr>
            </w:pPr>
            <w:r w:rsidRPr="005202CB">
              <w:rPr>
                <w:rFonts w:ascii="Verdana" w:hAnsi="Verdana"/>
                <w:b/>
                <w:color w:val="000000" w:themeColor="text1"/>
                <w:sz w:val="22"/>
                <w:szCs w:val="22"/>
                <w:lang w:val="mk-MK"/>
              </w:rPr>
              <w:t>Упатство за обучувачи</w:t>
            </w:r>
          </w:p>
          <w:p w14:paraId="697F558B" w14:textId="42688287" w:rsidR="00394E20" w:rsidRPr="005202CB" w:rsidRDefault="00C668DE" w:rsidP="005202CB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mk-MK"/>
              </w:rPr>
            </w:pPr>
            <w:r w:rsidRPr="005202CB">
              <w:rPr>
                <w:rFonts w:ascii="Verdana" w:hAnsi="Verdana"/>
                <w:sz w:val="18"/>
                <w:szCs w:val="18"/>
                <w:lang w:val="mk-MK"/>
              </w:rPr>
              <w:t xml:space="preserve">Оваа сесија е подготвена за да им овозможи на </w:t>
            </w:r>
            <w:r w:rsidR="004C331D" w:rsidRPr="005202CB">
              <w:rPr>
                <w:rFonts w:ascii="Verdana" w:hAnsi="Verdana"/>
                <w:sz w:val="18"/>
                <w:szCs w:val="18"/>
                <w:lang w:val="mk-MK"/>
              </w:rPr>
              <w:t>претставници</w:t>
            </w:r>
            <w:r w:rsidRPr="005202CB">
              <w:rPr>
                <w:rFonts w:ascii="Verdana" w:hAnsi="Verdana"/>
                <w:sz w:val="18"/>
                <w:szCs w:val="18"/>
                <w:lang w:val="mk-MK"/>
              </w:rPr>
              <w:t xml:space="preserve">те сеопфатно разбирање на одредбите </w:t>
            </w:r>
            <w:r w:rsidR="004D6B43" w:rsidRPr="005202CB">
              <w:rPr>
                <w:rFonts w:ascii="Verdana" w:hAnsi="Verdana"/>
                <w:sz w:val="18"/>
                <w:szCs w:val="18"/>
                <w:lang w:val="mk-MK"/>
              </w:rPr>
              <w:t xml:space="preserve">на </w:t>
            </w:r>
            <w:r w:rsidRPr="005202CB">
              <w:rPr>
                <w:rFonts w:ascii="Verdana" w:hAnsi="Verdana"/>
                <w:sz w:val="18"/>
                <w:szCs w:val="18"/>
                <w:lang w:val="mk-MK"/>
              </w:rPr>
              <w:t>проце</w:t>
            </w:r>
            <w:r w:rsidR="004D6B43" w:rsidRPr="005202CB">
              <w:rPr>
                <w:rFonts w:ascii="Verdana" w:hAnsi="Verdana"/>
                <w:sz w:val="18"/>
                <w:szCs w:val="18"/>
                <w:lang w:val="mk-MK"/>
              </w:rPr>
              <w:t>дуралното законодавство наведено</w:t>
            </w:r>
            <w:r w:rsidRPr="005202CB">
              <w:rPr>
                <w:rFonts w:ascii="Verdana" w:hAnsi="Verdana"/>
                <w:sz w:val="18"/>
                <w:szCs w:val="18"/>
                <w:lang w:val="mk-MK"/>
              </w:rPr>
              <w:t xml:space="preserve"> во Поглавје II</w:t>
            </w:r>
            <w:r w:rsidR="006C3F89" w:rsidRPr="005202CB">
              <w:rPr>
                <w:rFonts w:ascii="Verdana" w:hAnsi="Verdana"/>
                <w:sz w:val="18"/>
                <w:szCs w:val="18"/>
                <w:lang w:val="de-DE"/>
              </w:rPr>
              <w:t>,</w:t>
            </w:r>
            <w:r w:rsidRPr="005202CB">
              <w:rPr>
                <w:rFonts w:ascii="Verdana" w:hAnsi="Verdana"/>
                <w:sz w:val="18"/>
                <w:szCs w:val="18"/>
                <w:lang w:val="mk-MK"/>
              </w:rPr>
              <w:t xml:space="preserve"> оддел 2. Оваа сесија е поделена на четири дела, покрај вовед</w:t>
            </w:r>
            <w:r w:rsidR="006C3F89" w:rsidRPr="005202CB">
              <w:rPr>
                <w:rFonts w:ascii="Verdana" w:hAnsi="Verdana"/>
                <w:sz w:val="18"/>
                <w:szCs w:val="18"/>
                <w:lang w:val="mk-MK"/>
              </w:rPr>
              <w:t>от</w:t>
            </w:r>
            <w:r w:rsidRPr="005202CB">
              <w:rPr>
                <w:rFonts w:ascii="Verdana" w:hAnsi="Verdana"/>
                <w:sz w:val="18"/>
                <w:szCs w:val="18"/>
                <w:lang w:val="mk-MK"/>
              </w:rPr>
              <w:t xml:space="preserve"> и заклучок</w:t>
            </w:r>
            <w:r w:rsidR="006C3F89" w:rsidRPr="005202CB">
              <w:rPr>
                <w:rFonts w:ascii="Verdana" w:hAnsi="Verdana"/>
                <w:sz w:val="18"/>
                <w:szCs w:val="18"/>
                <w:lang w:val="mk-MK"/>
              </w:rPr>
              <w:t>от</w:t>
            </w:r>
            <w:r w:rsidRPr="005202CB">
              <w:rPr>
                <w:rFonts w:ascii="Verdana" w:hAnsi="Verdana"/>
                <w:sz w:val="18"/>
                <w:szCs w:val="18"/>
                <w:lang w:val="mk-MK"/>
              </w:rPr>
              <w:t>.</w:t>
            </w:r>
            <w:r w:rsidR="001A1F68" w:rsidRPr="005202CB">
              <w:rPr>
                <w:rFonts w:ascii="Verdana" w:hAnsi="Verdana"/>
                <w:sz w:val="18"/>
                <w:szCs w:val="18"/>
                <w:lang w:val="mk-MK"/>
              </w:rPr>
              <w:t xml:space="preserve"> </w:t>
            </w:r>
            <w:r w:rsidRPr="005202CB">
              <w:rPr>
                <w:rFonts w:ascii="Verdana" w:hAnsi="Verdana"/>
                <w:sz w:val="18"/>
                <w:szCs w:val="18"/>
                <w:lang w:val="mk-MK"/>
              </w:rPr>
              <w:t xml:space="preserve">Првиот дел го опфаќа </w:t>
            </w:r>
            <w:r w:rsidR="004D6B43" w:rsidRPr="005202CB">
              <w:rPr>
                <w:rFonts w:ascii="Verdana" w:hAnsi="Verdana"/>
                <w:sz w:val="18"/>
                <w:szCs w:val="18"/>
                <w:lang w:val="mk-MK"/>
              </w:rPr>
              <w:t>опфатот на процесните</w:t>
            </w:r>
            <w:r w:rsidRPr="005202CB">
              <w:rPr>
                <w:rFonts w:ascii="Verdana" w:hAnsi="Verdana"/>
                <w:sz w:val="18"/>
                <w:szCs w:val="18"/>
                <w:lang w:val="mk-MK"/>
              </w:rPr>
              <w:t xml:space="preserve"> одредби.</w:t>
            </w:r>
            <w:r w:rsidR="00394E20" w:rsidRPr="005202CB">
              <w:rPr>
                <w:rFonts w:ascii="Verdana" w:hAnsi="Verdana"/>
                <w:sz w:val="18"/>
                <w:szCs w:val="18"/>
                <w:lang w:val="mk-MK"/>
              </w:rPr>
              <w:t xml:space="preserve"> </w:t>
            </w:r>
            <w:r w:rsidRPr="005202CB">
              <w:rPr>
                <w:rFonts w:ascii="Verdana" w:hAnsi="Verdana"/>
                <w:sz w:val="18"/>
                <w:szCs w:val="18"/>
                <w:lang w:val="mk-MK"/>
              </w:rPr>
              <w:t>Вториот дел ги опфаќа поврзаните услови и гаранции.</w:t>
            </w:r>
            <w:r w:rsidR="00394E20" w:rsidRPr="005202CB">
              <w:rPr>
                <w:rFonts w:ascii="Verdana" w:hAnsi="Verdana"/>
                <w:sz w:val="18"/>
                <w:szCs w:val="18"/>
                <w:lang w:val="mk-MK"/>
              </w:rPr>
              <w:t xml:space="preserve"> </w:t>
            </w:r>
            <w:r w:rsidRPr="005202CB">
              <w:rPr>
                <w:rFonts w:ascii="Verdana" w:hAnsi="Verdana"/>
                <w:sz w:val="18"/>
                <w:szCs w:val="18"/>
                <w:lang w:val="mk-MK"/>
              </w:rPr>
              <w:t>Третиот дел го опфаќа експедитивното зачувување на складирани компјутерски податоци и делумното откривање на</w:t>
            </w:r>
            <w:r w:rsidR="006C3F89" w:rsidRPr="005202CB">
              <w:rPr>
                <w:rFonts w:ascii="Verdana" w:hAnsi="Verdana"/>
                <w:sz w:val="18"/>
                <w:szCs w:val="18"/>
                <w:lang w:val="mk-MK"/>
              </w:rPr>
              <w:t xml:space="preserve"> податочен сообраќај</w:t>
            </w:r>
            <w:r w:rsidRPr="005202CB">
              <w:rPr>
                <w:rFonts w:ascii="Verdana" w:hAnsi="Verdana"/>
                <w:sz w:val="18"/>
                <w:szCs w:val="18"/>
                <w:lang w:val="mk-MK"/>
              </w:rPr>
              <w:t>.</w:t>
            </w:r>
            <w:r w:rsidR="00394E20" w:rsidRPr="005202CB">
              <w:rPr>
                <w:rFonts w:ascii="Verdana" w:hAnsi="Verdana"/>
                <w:sz w:val="18"/>
                <w:szCs w:val="18"/>
                <w:lang w:val="mk-MK"/>
              </w:rPr>
              <w:t xml:space="preserve"> </w:t>
            </w:r>
            <w:r w:rsidRPr="005202CB">
              <w:rPr>
                <w:rFonts w:ascii="Verdana" w:hAnsi="Verdana"/>
                <w:sz w:val="18"/>
                <w:szCs w:val="18"/>
                <w:lang w:val="mk-MK"/>
              </w:rPr>
              <w:t>Четвртиот дел ги опфаќа на</w:t>
            </w:r>
            <w:r w:rsidR="006C3F89" w:rsidRPr="005202CB">
              <w:rPr>
                <w:rFonts w:ascii="Verdana" w:hAnsi="Verdana"/>
                <w:sz w:val="18"/>
                <w:szCs w:val="18"/>
                <w:lang w:val="mk-MK"/>
              </w:rPr>
              <w:t>лозите за генерирање</w:t>
            </w:r>
            <w:r w:rsidR="00807B60" w:rsidRPr="005202CB">
              <w:rPr>
                <w:rFonts w:ascii="Verdana" w:hAnsi="Verdana"/>
                <w:sz w:val="18"/>
                <w:szCs w:val="18"/>
                <w:lang w:val="mk-MK"/>
              </w:rPr>
              <w:t xml:space="preserve"> </w:t>
            </w:r>
            <w:r w:rsidR="00501946" w:rsidRPr="005202CB">
              <w:rPr>
                <w:rFonts w:ascii="Verdana" w:hAnsi="Verdana"/>
                <w:sz w:val="18"/>
                <w:szCs w:val="18"/>
                <w:lang w:val="mk-MK"/>
              </w:rPr>
              <w:t>информации</w:t>
            </w:r>
            <w:r w:rsidRPr="005202CB">
              <w:rPr>
                <w:rFonts w:ascii="Verdana" w:hAnsi="Verdana"/>
                <w:sz w:val="18"/>
                <w:szCs w:val="18"/>
                <w:lang w:val="mk-MK"/>
              </w:rPr>
              <w:t>.</w:t>
            </w:r>
            <w:r w:rsidR="00394E20" w:rsidRPr="005202CB">
              <w:rPr>
                <w:rFonts w:ascii="Verdana" w:hAnsi="Verdana"/>
                <w:sz w:val="18"/>
                <w:szCs w:val="18"/>
                <w:lang w:val="mk-MK"/>
              </w:rPr>
              <w:t xml:space="preserve"> </w:t>
            </w:r>
          </w:p>
          <w:p w14:paraId="70C91061" w14:textId="47DD24B6" w:rsidR="00FF2976" w:rsidRPr="005202CB" w:rsidRDefault="00C668DE" w:rsidP="005202CB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mk-MK"/>
              </w:rPr>
            </w:pPr>
            <w:r w:rsidRPr="005202CB">
              <w:rPr>
                <w:rFonts w:ascii="Verdana" w:hAnsi="Verdana"/>
                <w:sz w:val="18"/>
                <w:szCs w:val="18"/>
                <w:lang w:val="mk-MK"/>
              </w:rPr>
              <w:t xml:space="preserve">Пред презентирањето на оваа сесија, се препорачува обучувачот да ги разгледа ставовите 131 – 183 од </w:t>
            </w:r>
            <w:hyperlink r:id="rId7" w:history="1">
              <w:r w:rsidRPr="005202CB">
                <w:rPr>
                  <w:rStyle w:val="Hyperlink"/>
                  <w:rFonts w:ascii="Verdana" w:hAnsi="Verdana"/>
                  <w:sz w:val="18"/>
                  <w:szCs w:val="18"/>
                  <w:lang w:val="mk-MK"/>
                </w:rPr>
                <w:t>Извештајот за објаснување на конвенцијата за сајбер-криминал</w:t>
              </w:r>
            </w:hyperlink>
            <w:r w:rsidRPr="005202CB">
              <w:rPr>
                <w:rFonts w:ascii="Verdana" w:hAnsi="Verdana"/>
                <w:sz w:val="18"/>
                <w:szCs w:val="18"/>
                <w:lang w:val="mk-MK"/>
              </w:rPr>
              <w:t>.</w:t>
            </w:r>
          </w:p>
          <w:p w14:paraId="5EFF4BEF" w14:textId="7F40A363" w:rsidR="00166AE7" w:rsidRPr="005202CB" w:rsidRDefault="00C668DE" w:rsidP="005202CB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mk-MK"/>
              </w:rPr>
            </w:pPr>
            <w:r w:rsidRPr="005202CB">
              <w:rPr>
                <w:rFonts w:ascii="Verdana" w:hAnsi="Verdana"/>
                <w:sz w:val="18"/>
                <w:szCs w:val="18"/>
                <w:lang w:val="mk-MK"/>
              </w:rPr>
              <w:t xml:space="preserve">Обучувачот </w:t>
            </w:r>
            <w:r w:rsidR="004D6B43" w:rsidRPr="005202CB">
              <w:rPr>
                <w:rFonts w:ascii="Verdana" w:hAnsi="Verdana"/>
                <w:sz w:val="18"/>
                <w:szCs w:val="18"/>
                <w:lang w:val="mk-MK"/>
              </w:rPr>
              <w:t>можеби ќе посака</w:t>
            </w:r>
            <w:r w:rsidRPr="005202CB">
              <w:rPr>
                <w:rFonts w:ascii="Verdana" w:hAnsi="Verdana"/>
                <w:sz w:val="18"/>
                <w:szCs w:val="18"/>
                <w:lang w:val="mk-MK"/>
              </w:rPr>
              <w:t xml:space="preserve"> да поттикне дискусија за тоа како секоја одредба опфатена во оваа сесија е утврдена според домашното законодавство.</w:t>
            </w:r>
          </w:p>
        </w:tc>
      </w:tr>
      <w:tr w:rsidR="005A4E47" w:rsidRPr="005202CB" w14:paraId="7760520D" w14:textId="77777777" w:rsidTr="00F1574D">
        <w:trPr>
          <w:trHeight w:val="72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6DC91734" w:rsidR="005A4E47" w:rsidRPr="005202CB" w:rsidRDefault="00C668DE" w:rsidP="005202CB">
            <w:pPr>
              <w:spacing w:before="120" w:after="120" w:line="260" w:lineRule="atLeast"/>
              <w:rPr>
                <w:rFonts w:ascii="Verdana" w:hAnsi="Verdana"/>
                <w:b/>
                <w:sz w:val="28"/>
                <w:szCs w:val="28"/>
              </w:rPr>
            </w:pPr>
            <w:r w:rsidRPr="005202CB">
              <w:rPr>
                <w:rFonts w:ascii="Verdana" w:hAnsi="Verdana"/>
                <w:b/>
                <w:sz w:val="28"/>
                <w:szCs w:val="28"/>
                <w:lang w:val="mk-MK"/>
              </w:rPr>
              <w:lastRenderedPageBreak/>
              <w:t>Содржина на лекцијата</w:t>
            </w:r>
          </w:p>
        </w:tc>
      </w:tr>
      <w:tr w:rsidR="00F1574D" w:rsidRPr="005202CB" w14:paraId="57CC7AA4" w14:textId="77777777" w:rsidTr="00F1574D">
        <w:trPr>
          <w:trHeight w:val="629"/>
        </w:trPr>
        <w:tc>
          <w:tcPr>
            <w:tcW w:w="1525" w:type="dxa"/>
            <w:shd w:val="clear" w:color="auto" w:fill="D9E2F3" w:themeFill="accent1" w:themeFillTint="33"/>
            <w:vAlign w:val="center"/>
          </w:tcPr>
          <w:p w14:paraId="4538C338" w14:textId="568C2B0A" w:rsidR="00D82C18" w:rsidRPr="005202CB" w:rsidRDefault="00C668DE" w:rsidP="005202CB">
            <w:pPr>
              <w:spacing w:before="120" w:after="120" w:line="260" w:lineRule="atLeast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5202CB">
              <w:rPr>
                <w:rFonts w:ascii="Verdana" w:hAnsi="Verdana"/>
                <w:b/>
                <w:sz w:val="22"/>
                <w:szCs w:val="22"/>
                <w:lang w:val="mk-MK"/>
              </w:rPr>
              <w:t>Број на слајдови</w:t>
            </w:r>
          </w:p>
        </w:tc>
        <w:tc>
          <w:tcPr>
            <w:tcW w:w="7485" w:type="dxa"/>
            <w:gridSpan w:val="2"/>
            <w:shd w:val="clear" w:color="auto" w:fill="D9E2F3" w:themeFill="accent1" w:themeFillTint="33"/>
            <w:vAlign w:val="center"/>
          </w:tcPr>
          <w:p w14:paraId="2DA616FC" w14:textId="5A5BEFEE" w:rsidR="00D82C18" w:rsidRPr="005202CB" w:rsidRDefault="00C668DE" w:rsidP="005202CB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5202CB">
              <w:rPr>
                <w:rFonts w:ascii="Verdana" w:hAnsi="Verdana"/>
                <w:b/>
                <w:sz w:val="22"/>
                <w:szCs w:val="22"/>
                <w:lang w:val="mk-MK"/>
              </w:rPr>
              <w:t>Содржина</w:t>
            </w:r>
          </w:p>
        </w:tc>
      </w:tr>
      <w:tr w:rsidR="00F1574D" w:rsidRPr="005202CB" w14:paraId="11A12D7E" w14:textId="77777777" w:rsidTr="000F04E4">
        <w:trPr>
          <w:trHeight w:val="591"/>
        </w:trPr>
        <w:tc>
          <w:tcPr>
            <w:tcW w:w="1525" w:type="dxa"/>
            <w:vAlign w:val="center"/>
          </w:tcPr>
          <w:p w14:paraId="67083237" w14:textId="14105A60" w:rsidR="00D82C18" w:rsidRPr="005202CB" w:rsidRDefault="00C668DE" w:rsidP="005202CB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5202CB">
              <w:rPr>
                <w:rFonts w:ascii="Verdana" w:hAnsi="Verdana"/>
                <w:sz w:val="18"/>
                <w:szCs w:val="18"/>
                <w:lang w:val="mk-MK"/>
              </w:rPr>
              <w:t>1 до 4</w:t>
            </w:r>
          </w:p>
          <w:p w14:paraId="5A89CF27" w14:textId="5267D157" w:rsidR="00F1574D" w:rsidRPr="005202CB" w:rsidRDefault="00C668DE" w:rsidP="005202CB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5202CB">
              <w:rPr>
                <w:rFonts w:ascii="Verdana" w:hAnsi="Verdana"/>
                <w:sz w:val="18"/>
                <w:szCs w:val="18"/>
                <w:lang w:val="mk-MK"/>
              </w:rPr>
              <w:t>Задолжителни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36345B59" w14:textId="73D6E6D8" w:rsidR="00556D69" w:rsidRPr="005202CB" w:rsidRDefault="00C668DE" w:rsidP="005202CB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5202CB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Почетните слајдови се воведот во сесијата и ги содржат дневниот ред и целите на сесијата.</w:t>
            </w:r>
            <w:r w:rsidR="00556D69" w:rsidRPr="005202CB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F1574D" w:rsidRPr="005202CB" w14:paraId="65F07CB5" w14:textId="77777777" w:rsidTr="00F1574D">
        <w:trPr>
          <w:trHeight w:val="1880"/>
        </w:trPr>
        <w:tc>
          <w:tcPr>
            <w:tcW w:w="1525" w:type="dxa"/>
            <w:vAlign w:val="center"/>
          </w:tcPr>
          <w:p w14:paraId="56AF6365" w14:textId="1662F06C" w:rsidR="00D82C18" w:rsidRPr="005202CB" w:rsidRDefault="00C668DE" w:rsidP="005202CB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5202CB">
              <w:rPr>
                <w:rFonts w:ascii="Verdana" w:hAnsi="Verdana"/>
                <w:sz w:val="18"/>
                <w:szCs w:val="18"/>
                <w:lang w:val="mk-MK"/>
              </w:rPr>
              <w:t>5 до 7</w:t>
            </w:r>
          </w:p>
          <w:p w14:paraId="6F5AEB2D" w14:textId="6CAE0DC3" w:rsidR="00F1574D" w:rsidRPr="005202CB" w:rsidRDefault="00C668DE" w:rsidP="005202CB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5202CB">
              <w:rPr>
                <w:rFonts w:ascii="Verdana" w:hAnsi="Verdana"/>
                <w:sz w:val="18"/>
                <w:szCs w:val="18"/>
                <w:lang w:val="mk-MK"/>
              </w:rPr>
              <w:t>Задолжителни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317E0A87" w14:textId="6C52EA52" w:rsidR="001A1F68" w:rsidRPr="005202CB" w:rsidRDefault="00C668DE" w:rsidP="005202CB">
            <w:pPr>
              <w:pStyle w:val="Subtitle"/>
              <w:spacing w:before="120" w:line="260" w:lineRule="atLeast"/>
              <w:rPr>
                <w:rFonts w:ascii="Verdana" w:eastAsiaTheme="minorHAnsi" w:hAnsi="Verdana" w:cstheme="minorBidi"/>
                <w:iCs w:val="0"/>
                <w:color w:val="auto"/>
                <w:szCs w:val="18"/>
              </w:rPr>
            </w:pPr>
            <w:r w:rsidRPr="005202CB">
              <w:rPr>
                <w:rFonts w:ascii="Verdana" w:eastAsia="Times New Roman" w:hAnsi="Verdana"/>
                <w:szCs w:val="18"/>
                <w:lang w:val="mk-MK"/>
              </w:rPr>
              <w:t>Овие слајдови го објаснуваат оп</w:t>
            </w:r>
            <w:r w:rsidR="004D6B43" w:rsidRPr="005202CB">
              <w:rPr>
                <w:rFonts w:ascii="Verdana" w:eastAsia="Times New Roman" w:hAnsi="Verdana"/>
                <w:szCs w:val="18"/>
                <w:lang w:val="mk-MK"/>
              </w:rPr>
              <w:t>фатот</w:t>
            </w:r>
            <w:r w:rsidRPr="005202CB">
              <w:rPr>
                <w:rFonts w:ascii="Verdana" w:eastAsia="Times New Roman" w:hAnsi="Verdana"/>
                <w:szCs w:val="18"/>
                <w:lang w:val="mk-MK"/>
              </w:rPr>
              <w:t xml:space="preserve"> на п</w:t>
            </w:r>
            <w:r w:rsidR="004D6B43" w:rsidRPr="005202CB">
              <w:rPr>
                <w:rFonts w:ascii="Verdana" w:eastAsia="Times New Roman" w:hAnsi="Verdana"/>
                <w:szCs w:val="18"/>
                <w:lang w:val="mk-MK"/>
              </w:rPr>
              <w:t>роцесните</w:t>
            </w:r>
            <w:r w:rsidRPr="005202CB">
              <w:rPr>
                <w:rFonts w:ascii="Verdana" w:eastAsia="Times New Roman" w:hAnsi="Verdana"/>
                <w:szCs w:val="18"/>
                <w:lang w:val="mk-MK"/>
              </w:rPr>
              <w:t xml:space="preserve"> одредби, како што е </w:t>
            </w:r>
            <w:r w:rsidR="00F23E3E" w:rsidRPr="005202CB">
              <w:rPr>
                <w:rFonts w:ascii="Verdana" w:eastAsia="Times New Roman" w:hAnsi="Verdana"/>
                <w:szCs w:val="18"/>
                <w:lang w:val="mk-MK"/>
              </w:rPr>
              <w:t>предвидено</w:t>
            </w:r>
            <w:r w:rsidRPr="005202CB">
              <w:rPr>
                <w:rFonts w:ascii="Verdana" w:eastAsia="Times New Roman" w:hAnsi="Verdana"/>
                <w:szCs w:val="18"/>
                <w:lang w:val="mk-MK"/>
              </w:rPr>
              <w:t xml:space="preserve"> според член 14 од Конвенцијата од Будимпешта.</w:t>
            </w:r>
            <w:r w:rsidR="001A1F68" w:rsidRPr="005202CB">
              <w:rPr>
                <w:rFonts w:ascii="Verdana" w:eastAsia="Times New Roman" w:hAnsi="Verdana"/>
                <w:szCs w:val="18"/>
              </w:rPr>
              <w:t xml:space="preserve"> </w:t>
            </w:r>
          </w:p>
          <w:p w14:paraId="649FEA68" w14:textId="05D7944F" w:rsidR="00254BD5" w:rsidRPr="005202CB" w:rsidRDefault="00C668DE" w:rsidP="005202CB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 w:rsidRPr="005202CB">
              <w:rPr>
                <w:rFonts w:ascii="Verdana" w:eastAsia="Times New Roman" w:hAnsi="Verdana"/>
                <w:szCs w:val="18"/>
                <w:lang w:val="mk-MK"/>
              </w:rPr>
              <w:t>Слајдовите се поделени во две колони.</w:t>
            </w:r>
            <w:r w:rsidR="001A1F68" w:rsidRPr="005202CB">
              <w:rPr>
                <w:rFonts w:ascii="Verdana" w:eastAsia="Times New Roman" w:hAnsi="Verdana"/>
                <w:szCs w:val="18"/>
              </w:rPr>
              <w:t xml:space="preserve"> </w:t>
            </w:r>
            <w:r w:rsidRPr="005202CB">
              <w:rPr>
                <w:rFonts w:ascii="Verdana" w:eastAsia="Times New Roman" w:hAnsi="Verdana"/>
                <w:szCs w:val="18"/>
                <w:lang w:val="mk-MK"/>
              </w:rPr>
              <w:t xml:space="preserve">Колоната од левата страна го повторува текстот од член 14 од Конвенцијата од Будимпешта </w:t>
            </w:r>
            <w:r w:rsidR="007213CE" w:rsidRPr="005202CB">
              <w:rPr>
                <w:rFonts w:ascii="Verdana" w:eastAsia="Times New Roman" w:hAnsi="Verdana"/>
                <w:szCs w:val="18"/>
                <w:lang w:val="mk-MK"/>
              </w:rPr>
              <w:t>со нагласен специфичен елемент од истиот,</w:t>
            </w:r>
            <w:r w:rsidRPr="005202CB">
              <w:rPr>
                <w:rFonts w:ascii="Verdana" w:eastAsia="Times New Roman" w:hAnsi="Verdana"/>
                <w:szCs w:val="18"/>
                <w:lang w:val="mk-MK"/>
              </w:rPr>
              <w:t xml:space="preserve"> додека колоната од десната страна дава објаснување на нагласениот елемент.</w:t>
            </w:r>
            <w:r w:rsidR="001A1F68" w:rsidRPr="005202CB">
              <w:rPr>
                <w:rFonts w:ascii="Verdana" w:eastAsia="Times New Roman" w:hAnsi="Verdana"/>
                <w:szCs w:val="18"/>
              </w:rPr>
              <w:t xml:space="preserve"> </w:t>
            </w:r>
            <w:r w:rsidRPr="005202CB">
              <w:rPr>
                <w:rFonts w:ascii="Verdana" w:eastAsia="Times New Roman" w:hAnsi="Verdana"/>
                <w:szCs w:val="18"/>
                <w:lang w:val="mk-MK"/>
              </w:rPr>
              <w:t xml:space="preserve">Се очекува обучувачот да го помине секој елемент, </w:t>
            </w:r>
            <w:r w:rsidR="007213CE" w:rsidRPr="005202CB">
              <w:rPr>
                <w:rFonts w:ascii="Verdana" w:eastAsia="Times New Roman" w:hAnsi="Verdana"/>
                <w:szCs w:val="18"/>
                <w:lang w:val="mk-MK"/>
              </w:rPr>
              <w:t>за да обезбеди кај претставниците</w:t>
            </w:r>
            <w:r w:rsidRPr="005202CB">
              <w:rPr>
                <w:rFonts w:ascii="Verdana" w:eastAsia="Times New Roman" w:hAnsi="Verdana"/>
                <w:szCs w:val="18"/>
                <w:lang w:val="mk-MK"/>
              </w:rPr>
              <w:t xml:space="preserve"> сеопфатно разбирање на член 14 од Конвенцијата од Будимпешта.</w:t>
            </w:r>
            <w:r w:rsidR="00254BD5" w:rsidRPr="005202CB">
              <w:rPr>
                <w:rFonts w:ascii="Verdana" w:eastAsia="Times New Roman" w:hAnsi="Verdana"/>
                <w:szCs w:val="18"/>
              </w:rPr>
              <w:t xml:space="preserve"> </w:t>
            </w:r>
          </w:p>
        </w:tc>
      </w:tr>
      <w:tr w:rsidR="00D71080" w:rsidRPr="005202CB" w14:paraId="48E7B16B" w14:textId="77777777" w:rsidTr="00F1574D">
        <w:trPr>
          <w:trHeight w:val="1880"/>
        </w:trPr>
        <w:tc>
          <w:tcPr>
            <w:tcW w:w="1525" w:type="dxa"/>
            <w:vAlign w:val="center"/>
          </w:tcPr>
          <w:p w14:paraId="1CA37158" w14:textId="01DE1991" w:rsidR="00D71080" w:rsidRPr="005202CB" w:rsidRDefault="00C668DE" w:rsidP="005202CB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5202CB">
              <w:rPr>
                <w:rFonts w:ascii="Verdana" w:hAnsi="Verdana"/>
                <w:sz w:val="18"/>
                <w:szCs w:val="18"/>
                <w:lang w:val="mk-MK"/>
              </w:rPr>
              <w:t>8 до 13</w:t>
            </w:r>
          </w:p>
          <w:p w14:paraId="529370FD" w14:textId="4087821A" w:rsidR="00D71080" w:rsidRPr="005202CB" w:rsidRDefault="00C668DE" w:rsidP="005202CB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5202CB">
              <w:rPr>
                <w:rFonts w:ascii="Verdana" w:hAnsi="Verdana"/>
                <w:sz w:val="18"/>
                <w:szCs w:val="18"/>
                <w:lang w:val="mk-MK"/>
              </w:rPr>
              <w:t>Задолжителни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2B752BD6" w14:textId="299702A8" w:rsidR="00D71080" w:rsidRPr="005202CB" w:rsidRDefault="00F23E3E" w:rsidP="005202CB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 w:rsidRPr="005202CB">
              <w:rPr>
                <w:rFonts w:ascii="Verdana" w:eastAsia="Times New Roman" w:hAnsi="Verdana"/>
                <w:szCs w:val="18"/>
                <w:lang w:val="mk-MK"/>
              </w:rPr>
              <w:t xml:space="preserve">Овие слајдови ги објаснуваат условите и гаранциите, како што е предвидено според член 15 од Конвенцијата </w:t>
            </w:r>
            <w:r w:rsidR="004D6B43" w:rsidRPr="005202CB">
              <w:rPr>
                <w:rFonts w:ascii="Verdana" w:eastAsia="Times New Roman" w:hAnsi="Verdana"/>
                <w:szCs w:val="18"/>
                <w:lang w:val="mk-MK"/>
              </w:rPr>
              <w:t>од</w:t>
            </w:r>
            <w:r w:rsidRPr="005202CB">
              <w:rPr>
                <w:rFonts w:ascii="Verdana" w:eastAsia="Times New Roman" w:hAnsi="Verdana"/>
                <w:szCs w:val="18"/>
                <w:lang w:val="mk-MK"/>
              </w:rPr>
              <w:t xml:space="preserve"> Будимпешта.</w:t>
            </w:r>
            <w:r w:rsidR="00D71080" w:rsidRPr="005202CB">
              <w:rPr>
                <w:rFonts w:ascii="Verdana" w:eastAsia="Times New Roman" w:hAnsi="Verdana"/>
                <w:szCs w:val="18"/>
              </w:rPr>
              <w:t xml:space="preserve"> </w:t>
            </w:r>
          </w:p>
          <w:p w14:paraId="4E8D4973" w14:textId="42FDDAA4" w:rsidR="00EB0182" w:rsidRPr="005202CB" w:rsidRDefault="00F23E3E" w:rsidP="005202CB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 w:rsidRPr="005202CB">
              <w:rPr>
                <w:rFonts w:ascii="Verdana" w:eastAsia="Times New Roman" w:hAnsi="Verdana"/>
                <w:szCs w:val="18"/>
                <w:lang w:val="mk-MK"/>
              </w:rPr>
              <w:t>Слајдовите се поделени во две колони.</w:t>
            </w:r>
            <w:r w:rsidR="00D71080" w:rsidRPr="005202CB">
              <w:rPr>
                <w:rFonts w:ascii="Verdana" w:eastAsia="Times New Roman" w:hAnsi="Verdana"/>
                <w:szCs w:val="18"/>
              </w:rPr>
              <w:t xml:space="preserve"> </w:t>
            </w:r>
            <w:r w:rsidRPr="005202CB">
              <w:rPr>
                <w:rFonts w:ascii="Verdana" w:eastAsia="Times New Roman" w:hAnsi="Verdana"/>
                <w:szCs w:val="18"/>
                <w:lang w:val="mk-MK"/>
              </w:rPr>
              <w:t xml:space="preserve">Колоната од левата страна го повторува текстот од член 15 од Конвенцијата од Будимпешта </w:t>
            </w:r>
            <w:r w:rsidR="007213CE" w:rsidRPr="005202CB">
              <w:rPr>
                <w:rFonts w:ascii="Verdana" w:eastAsia="Times New Roman" w:hAnsi="Verdana"/>
                <w:szCs w:val="18"/>
                <w:lang w:val="mk-MK"/>
              </w:rPr>
              <w:t>со нагласен специфичен елемент од истиот,</w:t>
            </w:r>
            <w:r w:rsidRPr="005202CB">
              <w:rPr>
                <w:rFonts w:ascii="Verdana" w:eastAsia="Times New Roman" w:hAnsi="Verdana"/>
                <w:szCs w:val="18"/>
                <w:lang w:val="mk-MK"/>
              </w:rPr>
              <w:t xml:space="preserve"> додека колоната од десната страна дава објаснување на нагласениот елемент.</w:t>
            </w:r>
            <w:r w:rsidR="00D71080" w:rsidRPr="005202CB">
              <w:rPr>
                <w:rFonts w:ascii="Verdana" w:eastAsia="Times New Roman" w:hAnsi="Verdana"/>
                <w:szCs w:val="18"/>
              </w:rPr>
              <w:t xml:space="preserve"> </w:t>
            </w:r>
            <w:r w:rsidRPr="005202CB">
              <w:rPr>
                <w:rFonts w:ascii="Verdana" w:eastAsia="Times New Roman" w:hAnsi="Verdana"/>
                <w:szCs w:val="18"/>
                <w:lang w:val="mk-MK"/>
              </w:rPr>
              <w:t xml:space="preserve">Се очекува обучувачот да го помине секој елемент, </w:t>
            </w:r>
            <w:r w:rsidR="007213CE" w:rsidRPr="005202CB">
              <w:rPr>
                <w:rFonts w:ascii="Verdana" w:eastAsia="Times New Roman" w:hAnsi="Verdana"/>
                <w:szCs w:val="18"/>
                <w:lang w:val="mk-MK"/>
              </w:rPr>
              <w:t>за да обезбеди кај претставниците</w:t>
            </w:r>
            <w:r w:rsidRPr="005202CB">
              <w:rPr>
                <w:rFonts w:ascii="Verdana" w:eastAsia="Times New Roman" w:hAnsi="Verdana"/>
                <w:szCs w:val="18"/>
                <w:lang w:val="mk-MK"/>
              </w:rPr>
              <w:t xml:space="preserve"> сеопфатно разбирање на член 15 од Конвенцијата од Будимпешта.</w:t>
            </w:r>
          </w:p>
          <w:p w14:paraId="7D628DD2" w14:textId="12E75A23" w:rsidR="00EB0182" w:rsidRPr="005202CB" w:rsidRDefault="00F23E3E" w:rsidP="005202CB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 w:rsidRPr="005202CB">
              <w:rPr>
                <w:rFonts w:ascii="Verdana" w:hAnsi="Verdana"/>
                <w:szCs w:val="18"/>
                <w:lang w:val="mk-MK"/>
              </w:rPr>
              <w:t xml:space="preserve">Обучувачот може да ги побара од </w:t>
            </w:r>
            <w:r w:rsidR="004C331D" w:rsidRPr="005202CB">
              <w:rPr>
                <w:rFonts w:ascii="Verdana" w:hAnsi="Verdana"/>
                <w:szCs w:val="18"/>
                <w:lang w:val="mk-MK"/>
              </w:rPr>
              <w:t>претставници</w:t>
            </w:r>
            <w:r w:rsidRPr="005202CB">
              <w:rPr>
                <w:rFonts w:ascii="Verdana" w:hAnsi="Verdana"/>
                <w:szCs w:val="18"/>
                <w:lang w:val="mk-MK"/>
              </w:rPr>
              <w:t>те примери за тоа како нивните земји ги спроведуваат условите и гаранциите.</w:t>
            </w:r>
          </w:p>
        </w:tc>
      </w:tr>
      <w:tr w:rsidR="006D4EB9" w:rsidRPr="005202CB" w14:paraId="55B240E0" w14:textId="77777777" w:rsidTr="00EB0182">
        <w:trPr>
          <w:trHeight w:val="416"/>
        </w:trPr>
        <w:tc>
          <w:tcPr>
            <w:tcW w:w="1525" w:type="dxa"/>
            <w:vAlign w:val="center"/>
          </w:tcPr>
          <w:p w14:paraId="3DA92373" w14:textId="02A14B2D" w:rsidR="00D71080" w:rsidRPr="005202CB" w:rsidRDefault="00F23E3E" w:rsidP="005202CB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5202CB">
              <w:rPr>
                <w:rFonts w:ascii="Verdana" w:hAnsi="Verdana"/>
                <w:sz w:val="18"/>
                <w:szCs w:val="18"/>
                <w:lang w:val="mk-MK"/>
              </w:rPr>
              <w:t>14 до 27</w:t>
            </w:r>
          </w:p>
          <w:p w14:paraId="6DF39AAE" w14:textId="00CDBFF7" w:rsidR="006D4EB9" w:rsidRPr="005202CB" w:rsidRDefault="00F23E3E" w:rsidP="005202CB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5202CB">
              <w:rPr>
                <w:rFonts w:ascii="Verdana" w:hAnsi="Verdana"/>
                <w:sz w:val="18"/>
                <w:szCs w:val="18"/>
                <w:lang w:val="mk-MK"/>
              </w:rPr>
              <w:t>Задолжителни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62AE982E" w14:textId="704A0633" w:rsidR="00D71080" w:rsidRPr="005202CB" w:rsidRDefault="00F23E3E" w:rsidP="005202CB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 w:rsidRPr="005202CB">
              <w:rPr>
                <w:rFonts w:ascii="Verdana" w:eastAsia="Times New Roman" w:hAnsi="Verdana"/>
                <w:szCs w:val="18"/>
                <w:lang w:val="mk-MK"/>
              </w:rPr>
              <w:t xml:space="preserve">Овие слајдови ги објаснуваат одредбите </w:t>
            </w:r>
            <w:r w:rsidR="004D6B43" w:rsidRPr="005202CB">
              <w:rPr>
                <w:rFonts w:ascii="Verdana" w:eastAsia="Times New Roman" w:hAnsi="Verdana"/>
                <w:szCs w:val="18"/>
                <w:lang w:val="mk-MK"/>
              </w:rPr>
              <w:t>од</w:t>
            </w:r>
            <w:r w:rsidRPr="005202CB">
              <w:rPr>
                <w:rFonts w:ascii="Verdana" w:eastAsia="Times New Roman" w:hAnsi="Verdana"/>
                <w:szCs w:val="18"/>
                <w:lang w:val="mk-MK"/>
              </w:rPr>
              <w:t xml:space="preserve"> процесното право поврзани со експедитивно зачувување на складирани компјутерски податоци според член 16 од Конвенцијата од Будимпешта и експедитивно зачувување и делумно откривање на преносни податоци според член 17 од Конвенцијата од Будимпешта.</w:t>
            </w:r>
            <w:r w:rsidR="00D71080" w:rsidRPr="005202CB">
              <w:rPr>
                <w:rFonts w:ascii="Verdana" w:eastAsia="Times New Roman" w:hAnsi="Verdana"/>
                <w:szCs w:val="18"/>
              </w:rPr>
              <w:t xml:space="preserve"> </w:t>
            </w:r>
          </w:p>
          <w:p w14:paraId="5F10F4FA" w14:textId="329CB569" w:rsidR="00D71080" w:rsidRPr="005202CB" w:rsidRDefault="004D6B43" w:rsidP="005202CB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 w:rsidRPr="005202CB">
              <w:rPr>
                <w:rFonts w:ascii="Verdana" w:eastAsia="Times New Roman" w:hAnsi="Verdana"/>
                <w:szCs w:val="18"/>
                <w:lang w:val="mk-MK"/>
              </w:rPr>
              <w:t>Првата група</w:t>
            </w:r>
            <w:r w:rsidR="00F23E3E" w:rsidRPr="005202CB">
              <w:rPr>
                <w:rFonts w:ascii="Verdana" w:eastAsia="Times New Roman" w:hAnsi="Verdana"/>
                <w:szCs w:val="18"/>
                <w:lang w:val="mk-MK"/>
              </w:rPr>
              <w:t xml:space="preserve"> слајдови дава резиме на овластувањата според член 16 од Конвенцијата од Будимпешта.</w:t>
            </w:r>
            <w:r w:rsidR="00D71080" w:rsidRPr="005202CB">
              <w:rPr>
                <w:rFonts w:ascii="Verdana" w:eastAsia="Times New Roman" w:hAnsi="Verdana"/>
                <w:szCs w:val="18"/>
              </w:rPr>
              <w:t xml:space="preserve"> </w:t>
            </w:r>
            <w:r w:rsidR="00F23E3E" w:rsidRPr="005202CB">
              <w:rPr>
                <w:rFonts w:ascii="Verdana" w:eastAsia="Times New Roman" w:hAnsi="Verdana"/>
                <w:szCs w:val="18"/>
                <w:lang w:val="mk-MK"/>
              </w:rPr>
              <w:t xml:space="preserve">Исто така </w:t>
            </w:r>
            <w:r w:rsidR="001F48E9" w:rsidRPr="005202CB">
              <w:rPr>
                <w:rFonts w:ascii="Verdana" w:eastAsia="Times New Roman" w:hAnsi="Verdana"/>
                <w:szCs w:val="18"/>
                <w:lang w:val="mk-MK"/>
              </w:rPr>
              <w:t xml:space="preserve">дадена е </w:t>
            </w:r>
            <w:r w:rsidR="00F23E3E" w:rsidRPr="005202CB">
              <w:rPr>
                <w:rFonts w:ascii="Verdana" w:eastAsia="Times New Roman" w:hAnsi="Verdana"/>
                <w:szCs w:val="18"/>
                <w:lang w:val="mk-MK"/>
              </w:rPr>
              <w:t xml:space="preserve">студија на случај </w:t>
            </w:r>
            <w:r w:rsidRPr="005202CB">
              <w:rPr>
                <w:rFonts w:ascii="Verdana" w:eastAsia="Times New Roman" w:hAnsi="Verdana"/>
                <w:szCs w:val="18"/>
                <w:lang w:val="mk-MK"/>
              </w:rPr>
              <w:t>з</w:t>
            </w:r>
            <w:r w:rsidR="00F23E3E" w:rsidRPr="005202CB">
              <w:rPr>
                <w:rFonts w:ascii="Verdana" w:eastAsia="Times New Roman" w:hAnsi="Verdana"/>
                <w:szCs w:val="18"/>
                <w:lang w:val="mk-MK"/>
              </w:rPr>
              <w:t>а пример за тоа како судот толкувал наредба за зачувување.</w:t>
            </w:r>
            <w:r w:rsidR="00D71080" w:rsidRPr="005202CB">
              <w:rPr>
                <w:rFonts w:ascii="Verdana" w:eastAsia="Times New Roman" w:hAnsi="Verdana"/>
                <w:szCs w:val="18"/>
              </w:rPr>
              <w:t xml:space="preserve"> </w:t>
            </w:r>
          </w:p>
          <w:p w14:paraId="5BF7F502" w14:textId="2C797C53" w:rsidR="00D01845" w:rsidRPr="005202CB" w:rsidRDefault="00F23E3E" w:rsidP="005202CB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 w:rsidRPr="005202CB">
              <w:rPr>
                <w:rFonts w:ascii="Verdana" w:eastAsia="Times New Roman" w:hAnsi="Verdana"/>
                <w:szCs w:val="18"/>
                <w:lang w:val="mk-MK"/>
              </w:rPr>
              <w:t>Следната група на слајдови е поделена во две колони.</w:t>
            </w:r>
            <w:r w:rsidR="00D71080" w:rsidRPr="005202CB">
              <w:rPr>
                <w:rFonts w:ascii="Verdana" w:eastAsia="Times New Roman" w:hAnsi="Verdana"/>
                <w:szCs w:val="18"/>
              </w:rPr>
              <w:t xml:space="preserve"> </w:t>
            </w:r>
            <w:r w:rsidRPr="005202CB">
              <w:rPr>
                <w:rFonts w:ascii="Verdana" w:eastAsia="Times New Roman" w:hAnsi="Verdana"/>
                <w:szCs w:val="18"/>
                <w:lang w:val="mk-MK"/>
              </w:rPr>
              <w:t xml:space="preserve">Колоната од левата страна го повторува текстот од член 16 од Конвенцијата од Будимпешта </w:t>
            </w:r>
            <w:r w:rsidR="007213CE" w:rsidRPr="005202CB">
              <w:rPr>
                <w:rFonts w:ascii="Verdana" w:eastAsia="Times New Roman" w:hAnsi="Verdana"/>
                <w:szCs w:val="18"/>
                <w:lang w:val="mk-MK"/>
              </w:rPr>
              <w:t>со нагласен специфичен елемент од истиот,</w:t>
            </w:r>
            <w:r w:rsidRPr="005202CB">
              <w:rPr>
                <w:rFonts w:ascii="Verdana" w:eastAsia="Times New Roman" w:hAnsi="Verdana"/>
                <w:szCs w:val="18"/>
                <w:lang w:val="mk-MK"/>
              </w:rPr>
              <w:t xml:space="preserve"> додека колоната од десната страна дава објаснување на нагласениот елемент.</w:t>
            </w:r>
            <w:r w:rsidR="00D71080" w:rsidRPr="005202CB">
              <w:rPr>
                <w:rFonts w:ascii="Verdana" w:eastAsia="Times New Roman" w:hAnsi="Verdana"/>
                <w:szCs w:val="18"/>
              </w:rPr>
              <w:t xml:space="preserve"> </w:t>
            </w:r>
            <w:r w:rsidRPr="005202CB">
              <w:rPr>
                <w:rFonts w:ascii="Verdana" w:eastAsia="Times New Roman" w:hAnsi="Verdana"/>
                <w:szCs w:val="18"/>
                <w:lang w:val="mk-MK"/>
              </w:rPr>
              <w:t xml:space="preserve">Се очекува обучувачот да го помине секој елемент, </w:t>
            </w:r>
            <w:r w:rsidR="007213CE" w:rsidRPr="005202CB">
              <w:rPr>
                <w:rFonts w:ascii="Verdana" w:eastAsia="Times New Roman" w:hAnsi="Verdana"/>
                <w:szCs w:val="18"/>
                <w:lang w:val="mk-MK"/>
              </w:rPr>
              <w:t>за да обезбеди кај претставниците</w:t>
            </w:r>
            <w:r w:rsidRPr="005202CB">
              <w:rPr>
                <w:rFonts w:ascii="Verdana" w:eastAsia="Times New Roman" w:hAnsi="Verdana"/>
                <w:szCs w:val="18"/>
                <w:lang w:val="mk-MK"/>
              </w:rPr>
              <w:t xml:space="preserve"> сеопфатно разбирање на член 16 од Конвенцијата од Будимпешта.</w:t>
            </w:r>
          </w:p>
          <w:p w14:paraId="0F45619A" w14:textId="509D0DCF" w:rsidR="00D01845" w:rsidRPr="005202CB" w:rsidRDefault="00F23E3E" w:rsidP="005202CB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 w:rsidRPr="005202CB">
              <w:rPr>
                <w:rFonts w:ascii="Verdana" w:eastAsia="Times New Roman" w:hAnsi="Verdana"/>
                <w:szCs w:val="18"/>
                <w:lang w:val="mk-MK"/>
              </w:rPr>
              <w:t>Следната група на слајдови дава резиме на овластувањата според член 17 од Конвенцијата од Будимпешта.</w:t>
            </w:r>
            <w:r w:rsidR="00D01845" w:rsidRPr="005202CB">
              <w:rPr>
                <w:rFonts w:ascii="Verdana" w:eastAsia="Times New Roman" w:hAnsi="Verdana"/>
                <w:szCs w:val="18"/>
              </w:rPr>
              <w:t xml:space="preserve"> </w:t>
            </w:r>
          </w:p>
          <w:p w14:paraId="6378AF90" w14:textId="5197606E" w:rsidR="00EB0182" w:rsidRPr="005202CB" w:rsidRDefault="00F23E3E" w:rsidP="005202CB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 w:rsidRPr="005202CB">
              <w:rPr>
                <w:rFonts w:ascii="Verdana" w:eastAsia="Times New Roman" w:hAnsi="Verdana"/>
                <w:szCs w:val="18"/>
                <w:lang w:val="mk-MK"/>
              </w:rPr>
              <w:t>Последната група на слајдови е поделена во две колони.</w:t>
            </w:r>
            <w:r w:rsidR="00D01845" w:rsidRPr="005202CB">
              <w:rPr>
                <w:rFonts w:ascii="Verdana" w:eastAsia="Times New Roman" w:hAnsi="Verdana"/>
                <w:szCs w:val="18"/>
              </w:rPr>
              <w:t xml:space="preserve"> </w:t>
            </w:r>
            <w:r w:rsidRPr="005202CB">
              <w:rPr>
                <w:rFonts w:ascii="Verdana" w:eastAsia="Times New Roman" w:hAnsi="Verdana"/>
                <w:szCs w:val="18"/>
                <w:lang w:val="mk-MK"/>
              </w:rPr>
              <w:t xml:space="preserve">Колоната од левата страна го повторува текстот од член 17 од Конвенцијата од Будимпешта </w:t>
            </w:r>
            <w:r w:rsidR="007213CE" w:rsidRPr="005202CB">
              <w:rPr>
                <w:rFonts w:ascii="Verdana" w:eastAsia="Times New Roman" w:hAnsi="Verdana"/>
                <w:szCs w:val="18"/>
                <w:lang w:val="mk-MK"/>
              </w:rPr>
              <w:t>со нагласен специфичен елемент од истиот,</w:t>
            </w:r>
            <w:r w:rsidRPr="005202CB">
              <w:rPr>
                <w:rFonts w:ascii="Verdana" w:eastAsia="Times New Roman" w:hAnsi="Verdana"/>
                <w:szCs w:val="18"/>
                <w:lang w:val="mk-MK"/>
              </w:rPr>
              <w:t xml:space="preserve"> додека колоната од десната страна дава објаснување на нагласениот елемент.</w:t>
            </w:r>
            <w:r w:rsidR="00D01845" w:rsidRPr="005202CB">
              <w:rPr>
                <w:rFonts w:ascii="Verdana" w:eastAsia="Times New Roman" w:hAnsi="Verdana"/>
                <w:szCs w:val="18"/>
              </w:rPr>
              <w:t xml:space="preserve"> </w:t>
            </w:r>
            <w:r w:rsidRPr="005202CB">
              <w:rPr>
                <w:rFonts w:ascii="Verdana" w:eastAsia="Times New Roman" w:hAnsi="Verdana"/>
                <w:szCs w:val="18"/>
                <w:lang w:val="mk-MK"/>
              </w:rPr>
              <w:t xml:space="preserve">Се очекува обучувачот да го </w:t>
            </w:r>
            <w:r w:rsidRPr="005202CB">
              <w:rPr>
                <w:rFonts w:ascii="Verdana" w:eastAsia="Times New Roman" w:hAnsi="Verdana"/>
                <w:szCs w:val="18"/>
                <w:lang w:val="mk-MK"/>
              </w:rPr>
              <w:lastRenderedPageBreak/>
              <w:t xml:space="preserve">помине секој елемент, </w:t>
            </w:r>
            <w:r w:rsidR="007213CE" w:rsidRPr="005202CB">
              <w:rPr>
                <w:rFonts w:ascii="Verdana" w:eastAsia="Times New Roman" w:hAnsi="Verdana"/>
                <w:szCs w:val="18"/>
                <w:lang w:val="mk-MK"/>
              </w:rPr>
              <w:t>за да обезбеди кај претставниците</w:t>
            </w:r>
            <w:r w:rsidRPr="005202CB">
              <w:rPr>
                <w:rFonts w:ascii="Verdana" w:eastAsia="Times New Roman" w:hAnsi="Verdana"/>
                <w:szCs w:val="18"/>
                <w:lang w:val="mk-MK"/>
              </w:rPr>
              <w:t xml:space="preserve"> сеопфатно разбирање на член 17 од Конвенцијата од Будимпешта.</w:t>
            </w:r>
          </w:p>
          <w:p w14:paraId="3581F574" w14:textId="38193438" w:rsidR="00EB0182" w:rsidRPr="005202CB" w:rsidRDefault="00141F8F" w:rsidP="005202CB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 w:rsidRPr="005202CB">
              <w:rPr>
                <w:rFonts w:ascii="Verdana" w:hAnsi="Verdana"/>
                <w:szCs w:val="18"/>
                <w:lang w:val="mk-MK"/>
              </w:rPr>
              <w:t xml:space="preserve">Обучувачот може да побара од </w:t>
            </w:r>
            <w:r w:rsidR="004C331D" w:rsidRPr="005202CB">
              <w:rPr>
                <w:rFonts w:ascii="Verdana" w:hAnsi="Verdana"/>
                <w:szCs w:val="18"/>
                <w:lang w:val="mk-MK"/>
              </w:rPr>
              <w:t>претставници</w:t>
            </w:r>
            <w:r w:rsidRPr="005202CB">
              <w:rPr>
                <w:rFonts w:ascii="Verdana" w:hAnsi="Verdana"/>
                <w:szCs w:val="18"/>
                <w:lang w:val="mk-MK"/>
              </w:rPr>
              <w:t xml:space="preserve">те примери за тоа како нивните земји ги спроведуваат процедуралните овластувања поврзани со експедитивно зачувување на складирани компјутерски податоци и експедитивно зачувување и делумно откривање на </w:t>
            </w:r>
            <w:r w:rsidR="001F48E9" w:rsidRPr="005202CB">
              <w:rPr>
                <w:rFonts w:ascii="Verdana" w:hAnsi="Verdana"/>
                <w:szCs w:val="18"/>
                <w:lang w:val="mk-MK"/>
              </w:rPr>
              <w:t>податочен сообраќај</w:t>
            </w:r>
            <w:r w:rsidRPr="005202CB">
              <w:rPr>
                <w:rFonts w:ascii="Verdana" w:hAnsi="Verdana"/>
                <w:szCs w:val="18"/>
                <w:lang w:val="mk-MK"/>
              </w:rPr>
              <w:t>.</w:t>
            </w:r>
          </w:p>
        </w:tc>
      </w:tr>
      <w:tr w:rsidR="00F1574D" w:rsidRPr="005202CB" w14:paraId="4F010995" w14:textId="77777777" w:rsidTr="00F1574D">
        <w:trPr>
          <w:trHeight w:val="791"/>
        </w:trPr>
        <w:tc>
          <w:tcPr>
            <w:tcW w:w="1525" w:type="dxa"/>
            <w:vAlign w:val="center"/>
          </w:tcPr>
          <w:p w14:paraId="15E808BA" w14:textId="4B289505" w:rsidR="00556D69" w:rsidRPr="005202CB" w:rsidRDefault="001A6D09" w:rsidP="005202CB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5202CB">
              <w:rPr>
                <w:rFonts w:ascii="Verdana" w:hAnsi="Verdana"/>
                <w:sz w:val="18"/>
                <w:szCs w:val="18"/>
                <w:lang w:val="mk-MK"/>
              </w:rPr>
              <w:lastRenderedPageBreak/>
              <w:t>28 до 39</w:t>
            </w:r>
          </w:p>
          <w:p w14:paraId="48504862" w14:textId="6EE9CBBD" w:rsidR="00C70C5C" w:rsidRPr="005202CB" w:rsidRDefault="001A6D09" w:rsidP="005202CB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5202CB">
              <w:rPr>
                <w:rFonts w:ascii="Verdana" w:hAnsi="Verdana"/>
                <w:sz w:val="18"/>
                <w:szCs w:val="18"/>
                <w:lang w:val="mk-MK"/>
              </w:rPr>
              <w:t>Задолжителни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7EC273E7" w14:textId="227D24BA" w:rsidR="00EB0182" w:rsidRPr="005202CB" w:rsidRDefault="001A6D09" w:rsidP="005202CB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 w:rsidRPr="005202CB">
              <w:rPr>
                <w:rFonts w:ascii="Verdana" w:eastAsia="Times New Roman" w:hAnsi="Verdana"/>
                <w:szCs w:val="18"/>
                <w:lang w:val="mk-MK"/>
              </w:rPr>
              <w:t xml:space="preserve">Овие слајдови ги објаснуваат одредбите </w:t>
            </w:r>
            <w:r w:rsidR="004D6B43" w:rsidRPr="005202CB">
              <w:rPr>
                <w:rFonts w:ascii="Verdana" w:eastAsia="Times New Roman" w:hAnsi="Verdana"/>
                <w:szCs w:val="18"/>
                <w:lang w:val="mk-MK"/>
              </w:rPr>
              <w:t xml:space="preserve">на </w:t>
            </w:r>
            <w:r w:rsidRPr="005202CB">
              <w:rPr>
                <w:rFonts w:ascii="Verdana" w:eastAsia="Times New Roman" w:hAnsi="Verdana"/>
                <w:szCs w:val="18"/>
                <w:lang w:val="mk-MK"/>
              </w:rPr>
              <w:t>процесното право поврзани со н</w:t>
            </w:r>
            <w:r w:rsidR="001F48E9" w:rsidRPr="005202CB">
              <w:rPr>
                <w:rFonts w:ascii="Verdana" w:eastAsia="Times New Roman" w:hAnsi="Verdana"/>
                <w:szCs w:val="18"/>
                <w:lang w:val="mk-MK"/>
              </w:rPr>
              <w:t>алозите за генерирање информации</w:t>
            </w:r>
            <w:r w:rsidRPr="005202CB">
              <w:rPr>
                <w:rFonts w:ascii="Verdana" w:eastAsia="Times New Roman" w:hAnsi="Verdana"/>
                <w:szCs w:val="18"/>
                <w:lang w:val="mk-MK"/>
              </w:rPr>
              <w:t xml:space="preserve"> според член 18 од Конвенцијата од Будимпешта. </w:t>
            </w:r>
            <w:r w:rsidR="00EB0182" w:rsidRPr="005202CB">
              <w:rPr>
                <w:rFonts w:ascii="Verdana" w:eastAsia="Times New Roman" w:hAnsi="Verdana"/>
                <w:szCs w:val="18"/>
              </w:rPr>
              <w:t xml:space="preserve"> </w:t>
            </w:r>
          </w:p>
          <w:p w14:paraId="04E56C9E" w14:textId="1E659A09" w:rsidR="00EB0182" w:rsidRPr="005202CB" w:rsidRDefault="001A6D09" w:rsidP="005202CB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 w:rsidRPr="005202CB">
              <w:rPr>
                <w:rFonts w:ascii="Verdana" w:eastAsia="Times New Roman" w:hAnsi="Verdana"/>
                <w:szCs w:val="18"/>
                <w:lang w:val="mk-MK"/>
              </w:rPr>
              <w:t>П</w:t>
            </w:r>
            <w:r w:rsidR="004D6B43" w:rsidRPr="005202CB">
              <w:rPr>
                <w:rFonts w:ascii="Verdana" w:eastAsia="Times New Roman" w:hAnsi="Verdana"/>
                <w:szCs w:val="18"/>
                <w:lang w:val="mk-MK"/>
              </w:rPr>
              <w:t>рвата група</w:t>
            </w:r>
            <w:r w:rsidRPr="005202CB">
              <w:rPr>
                <w:rFonts w:ascii="Verdana" w:eastAsia="Times New Roman" w:hAnsi="Verdana"/>
                <w:szCs w:val="18"/>
                <w:lang w:val="mk-MK"/>
              </w:rPr>
              <w:t xml:space="preserve"> слајдови дава резиме на овластувањата според член 18 од Конвенцијата од Будимпешта.</w:t>
            </w:r>
            <w:r w:rsidR="00EB0182" w:rsidRPr="005202CB">
              <w:rPr>
                <w:rFonts w:ascii="Verdana" w:eastAsia="Times New Roman" w:hAnsi="Verdana"/>
                <w:szCs w:val="18"/>
              </w:rPr>
              <w:t xml:space="preserve"> </w:t>
            </w:r>
            <w:r w:rsidRPr="005202CB">
              <w:rPr>
                <w:rFonts w:ascii="Verdana" w:eastAsia="Times New Roman" w:hAnsi="Verdana"/>
                <w:szCs w:val="18"/>
                <w:lang w:val="mk-MK"/>
              </w:rPr>
              <w:t xml:space="preserve">Исто така </w:t>
            </w:r>
            <w:r w:rsidR="001F48E9" w:rsidRPr="005202CB">
              <w:rPr>
                <w:rFonts w:ascii="Verdana" w:eastAsia="Times New Roman" w:hAnsi="Verdana"/>
                <w:szCs w:val="18"/>
                <w:lang w:val="mk-MK"/>
              </w:rPr>
              <w:t>дадена е</w:t>
            </w:r>
            <w:r w:rsidRPr="005202CB">
              <w:rPr>
                <w:rFonts w:ascii="Verdana" w:eastAsia="Times New Roman" w:hAnsi="Verdana"/>
                <w:szCs w:val="18"/>
                <w:lang w:val="mk-MK"/>
              </w:rPr>
              <w:t xml:space="preserve"> студија на случај на белгиск</w:t>
            </w:r>
            <w:r w:rsidR="001F48E9" w:rsidRPr="005202CB">
              <w:rPr>
                <w:rFonts w:ascii="Verdana" w:eastAsia="Times New Roman" w:hAnsi="Verdana"/>
                <w:szCs w:val="18"/>
                <w:lang w:val="mk-MK"/>
              </w:rPr>
              <w:t>ата верзија на</w:t>
            </w:r>
            <w:r w:rsidRPr="005202CB">
              <w:rPr>
                <w:rFonts w:ascii="Verdana" w:eastAsia="Times New Roman" w:hAnsi="Verdana"/>
                <w:szCs w:val="18"/>
                <w:lang w:val="mk-MK"/>
              </w:rPr>
              <w:t xml:space="preserve"> Yahoo! случај што покажува примена на член 18 од Конвенцијата </w:t>
            </w:r>
            <w:r w:rsidR="00464FB1" w:rsidRPr="005202CB">
              <w:rPr>
                <w:rFonts w:ascii="Verdana" w:eastAsia="Times New Roman" w:hAnsi="Verdana"/>
                <w:szCs w:val="18"/>
                <w:lang w:val="mk-MK"/>
              </w:rPr>
              <w:t>од</w:t>
            </w:r>
            <w:r w:rsidRPr="005202CB">
              <w:rPr>
                <w:rFonts w:ascii="Verdana" w:eastAsia="Times New Roman" w:hAnsi="Verdana"/>
                <w:szCs w:val="18"/>
                <w:lang w:val="mk-MK"/>
              </w:rPr>
              <w:t xml:space="preserve"> Будимпешта </w:t>
            </w:r>
            <w:r w:rsidR="001F48E9" w:rsidRPr="005202CB">
              <w:rPr>
                <w:rFonts w:ascii="Verdana" w:eastAsia="Times New Roman" w:hAnsi="Verdana"/>
                <w:szCs w:val="18"/>
                <w:lang w:val="mk-MK"/>
              </w:rPr>
              <w:t>в</w:t>
            </w:r>
            <w:r w:rsidRPr="005202CB">
              <w:rPr>
                <w:rFonts w:ascii="Verdana" w:eastAsia="Times New Roman" w:hAnsi="Verdana"/>
                <w:szCs w:val="18"/>
                <w:lang w:val="mk-MK"/>
              </w:rPr>
              <w:t>о една земја.</w:t>
            </w:r>
            <w:r w:rsidR="00EB0182" w:rsidRPr="005202CB">
              <w:rPr>
                <w:rFonts w:ascii="Verdana" w:eastAsia="Times New Roman" w:hAnsi="Verdana"/>
                <w:szCs w:val="18"/>
              </w:rPr>
              <w:t xml:space="preserve"> </w:t>
            </w:r>
          </w:p>
          <w:p w14:paraId="4AF5B3D7" w14:textId="43EEEB55" w:rsidR="00C70C5C" w:rsidRPr="005202CB" w:rsidRDefault="001A6D09" w:rsidP="005202CB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 w:rsidRPr="005202CB">
              <w:rPr>
                <w:rFonts w:ascii="Verdana" w:eastAsia="Times New Roman" w:hAnsi="Verdana"/>
                <w:szCs w:val="18"/>
                <w:lang w:val="mk-MK"/>
              </w:rPr>
              <w:t>Следната група на слајдови е поделена во две колони.</w:t>
            </w:r>
            <w:r w:rsidR="00EB0182" w:rsidRPr="005202CB">
              <w:rPr>
                <w:rFonts w:ascii="Verdana" w:eastAsia="Times New Roman" w:hAnsi="Verdana"/>
                <w:szCs w:val="18"/>
              </w:rPr>
              <w:t xml:space="preserve"> </w:t>
            </w:r>
            <w:r w:rsidRPr="005202CB">
              <w:rPr>
                <w:rFonts w:ascii="Verdana" w:eastAsia="Times New Roman" w:hAnsi="Verdana"/>
                <w:szCs w:val="18"/>
                <w:lang w:val="mk-MK"/>
              </w:rPr>
              <w:t xml:space="preserve">Колоната од левата страна го повторува текстот од член 18 од Конвенцијата од Будимпешта </w:t>
            </w:r>
            <w:r w:rsidR="007213CE" w:rsidRPr="005202CB">
              <w:rPr>
                <w:rFonts w:ascii="Verdana" w:eastAsia="Times New Roman" w:hAnsi="Verdana"/>
                <w:szCs w:val="18"/>
                <w:lang w:val="mk-MK"/>
              </w:rPr>
              <w:t>со нагласен специфичен елемент од истиот,</w:t>
            </w:r>
            <w:r w:rsidRPr="005202CB">
              <w:rPr>
                <w:rFonts w:ascii="Verdana" w:eastAsia="Times New Roman" w:hAnsi="Verdana"/>
                <w:szCs w:val="18"/>
                <w:lang w:val="mk-MK"/>
              </w:rPr>
              <w:t xml:space="preserve"> додека колоната од десната страна дава објаснување на нагласениот елемент.</w:t>
            </w:r>
            <w:r w:rsidR="00EB0182" w:rsidRPr="005202CB">
              <w:rPr>
                <w:rFonts w:ascii="Verdana" w:eastAsia="Times New Roman" w:hAnsi="Verdana"/>
                <w:szCs w:val="18"/>
              </w:rPr>
              <w:t xml:space="preserve"> </w:t>
            </w:r>
            <w:r w:rsidRPr="005202CB">
              <w:rPr>
                <w:rFonts w:ascii="Verdana" w:eastAsia="Times New Roman" w:hAnsi="Verdana"/>
                <w:szCs w:val="18"/>
                <w:lang w:val="mk-MK"/>
              </w:rPr>
              <w:t xml:space="preserve">Се очекува обучувачот да го помине секој елемент, </w:t>
            </w:r>
            <w:r w:rsidR="007213CE" w:rsidRPr="005202CB">
              <w:rPr>
                <w:rFonts w:ascii="Verdana" w:eastAsia="Times New Roman" w:hAnsi="Verdana"/>
                <w:szCs w:val="18"/>
                <w:lang w:val="mk-MK"/>
              </w:rPr>
              <w:t>за да обезбеди кај претставниците</w:t>
            </w:r>
            <w:r w:rsidRPr="005202CB">
              <w:rPr>
                <w:rFonts w:ascii="Verdana" w:eastAsia="Times New Roman" w:hAnsi="Verdana"/>
                <w:szCs w:val="18"/>
                <w:lang w:val="mk-MK"/>
              </w:rPr>
              <w:t xml:space="preserve"> сеопфатно разбирање на член 18 од Конвенцијата од Будимпешта.</w:t>
            </w:r>
          </w:p>
        </w:tc>
      </w:tr>
      <w:tr w:rsidR="00F1574D" w:rsidRPr="005202CB" w14:paraId="35503B3F" w14:textId="77777777" w:rsidTr="00F1574D">
        <w:trPr>
          <w:trHeight w:val="1259"/>
        </w:trPr>
        <w:tc>
          <w:tcPr>
            <w:tcW w:w="1525" w:type="dxa"/>
            <w:vAlign w:val="center"/>
          </w:tcPr>
          <w:p w14:paraId="5A87A945" w14:textId="49D51272" w:rsidR="00556D69" w:rsidRPr="005202CB" w:rsidRDefault="001A6D09" w:rsidP="005202CB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5202CB">
              <w:rPr>
                <w:rFonts w:ascii="Verdana" w:hAnsi="Verdana"/>
                <w:sz w:val="18"/>
                <w:szCs w:val="18"/>
                <w:lang w:val="mk-MK"/>
              </w:rPr>
              <w:t>40 до 41</w:t>
            </w:r>
          </w:p>
          <w:p w14:paraId="5DE9D224" w14:textId="0E316EB1" w:rsidR="00F1574D" w:rsidRPr="005202CB" w:rsidRDefault="001A6D09" w:rsidP="005202CB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5202CB">
              <w:rPr>
                <w:rFonts w:ascii="Verdana" w:hAnsi="Verdana"/>
                <w:sz w:val="18"/>
                <w:szCs w:val="18"/>
                <w:lang w:val="mk-MK"/>
              </w:rPr>
              <w:t>Важни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6E2FA816" w14:textId="7353B139" w:rsidR="00314D32" w:rsidRPr="005202CB" w:rsidRDefault="001A6D09" w:rsidP="005202CB">
            <w:pPr>
              <w:pStyle w:val="Subtitle"/>
              <w:spacing w:before="120" w:line="260" w:lineRule="atLeast"/>
              <w:rPr>
                <w:rFonts w:ascii="Verdana" w:hAnsi="Verdana"/>
              </w:rPr>
            </w:pPr>
            <w:r w:rsidRPr="005202CB">
              <w:rPr>
                <w:rFonts w:ascii="Verdana" w:eastAsia="Times New Roman" w:hAnsi="Verdana" w:cs="Times New Roman"/>
                <w:szCs w:val="18"/>
                <w:lang w:val="mk-MK"/>
              </w:rPr>
              <w:t xml:space="preserve">Обучувачот треба да ги повтори целите на сесијата со </w:t>
            </w:r>
            <w:r w:rsidR="004C331D" w:rsidRPr="005202CB">
              <w:rPr>
                <w:rFonts w:ascii="Verdana" w:eastAsia="Times New Roman" w:hAnsi="Verdana" w:cs="Times New Roman"/>
                <w:szCs w:val="18"/>
                <w:lang w:val="mk-MK"/>
              </w:rPr>
              <w:t>претставници</w:t>
            </w:r>
            <w:r w:rsidRPr="005202CB">
              <w:rPr>
                <w:rFonts w:ascii="Verdana" w:eastAsia="Times New Roman" w:hAnsi="Verdana" w:cs="Times New Roman"/>
                <w:szCs w:val="18"/>
                <w:lang w:val="mk-MK"/>
              </w:rPr>
              <w:t>те и да им даде можност да постават какви било прашања во врска со материјалите опфатени во овој модул.</w:t>
            </w:r>
          </w:p>
        </w:tc>
      </w:tr>
      <w:tr w:rsidR="00CB3026" w:rsidRPr="005202CB" w14:paraId="2ECF09B7" w14:textId="77777777" w:rsidTr="00F1574D">
        <w:trPr>
          <w:trHeight w:val="890"/>
        </w:trPr>
        <w:tc>
          <w:tcPr>
            <w:tcW w:w="9010" w:type="dxa"/>
            <w:gridSpan w:val="3"/>
            <w:vAlign w:val="center"/>
          </w:tcPr>
          <w:p w14:paraId="55ED1F4B" w14:textId="00E86B54" w:rsidR="00CB3026" w:rsidRPr="005202CB" w:rsidRDefault="001A6D09" w:rsidP="005202CB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5202CB">
              <w:rPr>
                <w:rFonts w:ascii="Verdana" w:hAnsi="Verdana"/>
                <w:b/>
                <w:sz w:val="22"/>
                <w:szCs w:val="22"/>
                <w:lang w:val="mk-MK"/>
              </w:rPr>
              <w:t>Практични вежби</w:t>
            </w:r>
          </w:p>
          <w:p w14:paraId="04D65D89" w14:textId="6F6A3547" w:rsidR="00CB3026" w:rsidRPr="005202CB" w:rsidRDefault="001A6D09" w:rsidP="005202CB">
            <w:pPr>
              <w:spacing w:before="120" w:after="120" w:line="260" w:lineRule="atLeast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5202CB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Нема практични вежби поврзани со оваа лекција.</w:t>
            </w:r>
          </w:p>
        </w:tc>
      </w:tr>
      <w:tr w:rsidR="00CB3026" w:rsidRPr="005202CB" w14:paraId="603967A2" w14:textId="77777777" w:rsidTr="00F1574D">
        <w:tc>
          <w:tcPr>
            <w:tcW w:w="9010" w:type="dxa"/>
            <w:gridSpan w:val="3"/>
            <w:vAlign w:val="center"/>
          </w:tcPr>
          <w:p w14:paraId="57B48D1E" w14:textId="588AD4BC" w:rsidR="00CB3026" w:rsidRPr="005202CB" w:rsidRDefault="001A6D09" w:rsidP="005202CB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5202CB">
              <w:rPr>
                <w:rFonts w:ascii="Verdana" w:hAnsi="Verdana"/>
                <w:b/>
                <w:sz w:val="22"/>
                <w:szCs w:val="22"/>
                <w:lang w:val="mk-MK"/>
              </w:rPr>
              <w:t>Проценка/Проверување на знаење</w:t>
            </w:r>
          </w:p>
          <w:p w14:paraId="4496975B" w14:textId="611023E9" w:rsidR="00CB3026" w:rsidRPr="005202CB" w:rsidRDefault="001A6D09" w:rsidP="005202CB">
            <w:pPr>
              <w:spacing w:before="120" w:after="120" w:line="260" w:lineRule="atLeast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5202CB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За оваа сесија не е потребна проверка или проценка на знаењето.</w:t>
            </w:r>
          </w:p>
        </w:tc>
      </w:tr>
    </w:tbl>
    <w:p w14:paraId="15498912" w14:textId="77777777" w:rsidR="00D82C18" w:rsidRPr="005202CB" w:rsidRDefault="00D82C18" w:rsidP="005202CB">
      <w:pPr>
        <w:spacing w:before="120" w:after="120" w:line="260" w:lineRule="atLeast"/>
        <w:rPr>
          <w:rFonts w:ascii="Verdana" w:hAnsi="Verdana"/>
        </w:rPr>
      </w:pPr>
    </w:p>
    <w:sectPr w:rsidR="00D82C18" w:rsidRPr="005202CB" w:rsidSect="00F157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783" w:right="1440" w:bottom="119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5297C6" w14:textId="77777777" w:rsidR="00591EB7" w:rsidRDefault="00591EB7" w:rsidP="00AF47D2">
      <w:r>
        <w:separator/>
      </w:r>
    </w:p>
  </w:endnote>
  <w:endnote w:type="continuationSeparator" w:id="0">
    <w:p w14:paraId="47B98B36" w14:textId="77777777" w:rsidR="00591EB7" w:rsidRDefault="00591EB7" w:rsidP="00AF4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 Bold">
    <w:altName w:val="Times New Roman"/>
    <w:panose1 w:val="020B0804030504040204"/>
    <w:charset w:val="00"/>
    <w:family w:val="auto"/>
    <w:pitch w:val="variable"/>
    <w:sig w:usb0="00000001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3C1BB1" w14:textId="77777777" w:rsidR="00AF47D2" w:rsidRDefault="00AF47D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4531D8" w14:textId="77777777" w:rsidR="00AF47D2" w:rsidRDefault="00AF47D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DC046A" w14:textId="77777777" w:rsidR="00AF47D2" w:rsidRDefault="00AF47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3CEADA" w14:textId="77777777" w:rsidR="00591EB7" w:rsidRDefault="00591EB7" w:rsidP="00AF47D2">
      <w:r>
        <w:separator/>
      </w:r>
    </w:p>
  </w:footnote>
  <w:footnote w:type="continuationSeparator" w:id="0">
    <w:p w14:paraId="476C3940" w14:textId="77777777" w:rsidR="00591EB7" w:rsidRDefault="00591EB7" w:rsidP="00AF47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754B4B" w14:textId="77777777" w:rsidR="00AF47D2" w:rsidRDefault="00AF47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8E8632" w14:textId="77777777" w:rsidR="00AF47D2" w:rsidRDefault="00AF47D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402871" w14:textId="77777777" w:rsidR="00AF47D2" w:rsidRDefault="00AF47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86C5820"/>
    <w:lvl w:ilvl="0">
      <w:numFmt w:val="decimal"/>
      <w:pStyle w:val="listbullet"/>
      <w:lvlText w:val="*"/>
      <w:lvlJc w:val="left"/>
      <w:rPr>
        <w:rFonts w:cs="Times New Roman"/>
      </w:rPr>
    </w:lvl>
  </w:abstractNum>
  <w:abstractNum w:abstractNumId="1" w15:restartNumberingAfterBreak="0">
    <w:nsid w:val="045266B2"/>
    <w:multiLevelType w:val="hybridMultilevel"/>
    <w:tmpl w:val="F43057EC"/>
    <w:lvl w:ilvl="0" w:tplc="77BA8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CAFF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60B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A28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3C0E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B463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B26F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8897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FED9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B252FA2"/>
    <w:multiLevelType w:val="hybridMultilevel"/>
    <w:tmpl w:val="0B8EB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5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848348D"/>
    <w:multiLevelType w:val="hybridMultilevel"/>
    <w:tmpl w:val="A1FA8F48"/>
    <w:lvl w:ilvl="0" w:tplc="28964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D47924">
      <w:numFmt w:val="none"/>
      <w:lvlText w:val=""/>
      <w:lvlJc w:val="left"/>
      <w:pPr>
        <w:tabs>
          <w:tab w:val="num" w:pos="360"/>
        </w:tabs>
      </w:pPr>
    </w:lvl>
    <w:lvl w:ilvl="2" w:tplc="BCA227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0A76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2E36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D4F2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D033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9A71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1C5F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E2058DF"/>
    <w:multiLevelType w:val="hybridMultilevel"/>
    <w:tmpl w:val="FE9681DE"/>
    <w:lvl w:ilvl="0" w:tplc="0A8AC0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E26929"/>
    <w:multiLevelType w:val="hybridMultilevel"/>
    <w:tmpl w:val="8EC0BE0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D53E50"/>
    <w:multiLevelType w:val="multilevel"/>
    <w:tmpl w:val="99E2FBE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7"/>
  </w:num>
  <w:num w:numId="4">
    <w:abstractNumId w:val="5"/>
  </w:num>
  <w:num w:numId="5">
    <w:abstractNumId w:val="6"/>
  </w:num>
  <w:num w:numId="6">
    <w:abstractNumId w:val="13"/>
  </w:num>
  <w:num w:numId="7">
    <w:abstractNumId w:val="3"/>
  </w:num>
  <w:num w:numId="8">
    <w:abstractNumId w:val="0"/>
    <w:lvlOverride w:ilvl="0">
      <w:lvl w:ilvl="0">
        <w:start w:val="1"/>
        <w:numFmt w:val="bullet"/>
        <w:pStyle w:val="listbullet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</w:rPr>
      </w:lvl>
    </w:lvlOverride>
  </w:num>
  <w:num w:numId="9">
    <w:abstractNumId w:val="12"/>
  </w:num>
  <w:num w:numId="10">
    <w:abstractNumId w:val="1"/>
  </w:num>
  <w:num w:numId="11">
    <w:abstractNumId w:val="11"/>
  </w:num>
  <w:num w:numId="12">
    <w:abstractNumId w:val="8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18"/>
    <w:rsid w:val="00004EF1"/>
    <w:rsid w:val="00027F4D"/>
    <w:rsid w:val="00051376"/>
    <w:rsid w:val="000C40EE"/>
    <w:rsid w:val="000D0409"/>
    <w:rsid w:val="000F04E4"/>
    <w:rsid w:val="000F7896"/>
    <w:rsid w:val="00141F8F"/>
    <w:rsid w:val="00166AE7"/>
    <w:rsid w:val="00192BC7"/>
    <w:rsid w:val="001A1F68"/>
    <w:rsid w:val="001A6D09"/>
    <w:rsid w:val="001D2D02"/>
    <w:rsid w:val="001D603D"/>
    <w:rsid w:val="001E7389"/>
    <w:rsid w:val="001F48E9"/>
    <w:rsid w:val="00207B05"/>
    <w:rsid w:val="00254BD5"/>
    <w:rsid w:val="00271010"/>
    <w:rsid w:val="002E3ECE"/>
    <w:rsid w:val="002F3B54"/>
    <w:rsid w:val="00312734"/>
    <w:rsid w:val="00314D32"/>
    <w:rsid w:val="00325B4C"/>
    <w:rsid w:val="0034224C"/>
    <w:rsid w:val="00342639"/>
    <w:rsid w:val="003453F7"/>
    <w:rsid w:val="003630ED"/>
    <w:rsid w:val="00372572"/>
    <w:rsid w:val="00381091"/>
    <w:rsid w:val="00394E20"/>
    <w:rsid w:val="003A435F"/>
    <w:rsid w:val="003F6587"/>
    <w:rsid w:val="00437AF3"/>
    <w:rsid w:val="00450007"/>
    <w:rsid w:val="00457DD3"/>
    <w:rsid w:val="00464FB1"/>
    <w:rsid w:val="00491C99"/>
    <w:rsid w:val="004B7351"/>
    <w:rsid w:val="004C331D"/>
    <w:rsid w:val="004D6B43"/>
    <w:rsid w:val="00501946"/>
    <w:rsid w:val="00514FE0"/>
    <w:rsid w:val="005202CB"/>
    <w:rsid w:val="005451BE"/>
    <w:rsid w:val="00556D69"/>
    <w:rsid w:val="005605C7"/>
    <w:rsid w:val="005703B7"/>
    <w:rsid w:val="00591EB7"/>
    <w:rsid w:val="005A4E47"/>
    <w:rsid w:val="005D4432"/>
    <w:rsid w:val="006527C6"/>
    <w:rsid w:val="00671ADF"/>
    <w:rsid w:val="006B0B52"/>
    <w:rsid w:val="006B3820"/>
    <w:rsid w:val="006C3F89"/>
    <w:rsid w:val="006D4EB9"/>
    <w:rsid w:val="006E314A"/>
    <w:rsid w:val="006F5E5F"/>
    <w:rsid w:val="007213CE"/>
    <w:rsid w:val="0075334E"/>
    <w:rsid w:val="007678A6"/>
    <w:rsid w:val="00775CE6"/>
    <w:rsid w:val="007E3B3E"/>
    <w:rsid w:val="007E44F7"/>
    <w:rsid w:val="00807B60"/>
    <w:rsid w:val="00844FBF"/>
    <w:rsid w:val="008817F1"/>
    <w:rsid w:val="008A4C93"/>
    <w:rsid w:val="008C3900"/>
    <w:rsid w:val="008E3FE7"/>
    <w:rsid w:val="00906F18"/>
    <w:rsid w:val="00951791"/>
    <w:rsid w:val="00956062"/>
    <w:rsid w:val="009B4375"/>
    <w:rsid w:val="009D1DB1"/>
    <w:rsid w:val="009E1390"/>
    <w:rsid w:val="009E3827"/>
    <w:rsid w:val="009F336B"/>
    <w:rsid w:val="00A03CF0"/>
    <w:rsid w:val="00A26382"/>
    <w:rsid w:val="00A31A58"/>
    <w:rsid w:val="00A342ED"/>
    <w:rsid w:val="00A4110D"/>
    <w:rsid w:val="00A439ED"/>
    <w:rsid w:val="00A55067"/>
    <w:rsid w:val="00A734A5"/>
    <w:rsid w:val="00A76996"/>
    <w:rsid w:val="00A94D8B"/>
    <w:rsid w:val="00AA5742"/>
    <w:rsid w:val="00AC1380"/>
    <w:rsid w:val="00AC45A8"/>
    <w:rsid w:val="00AE76CE"/>
    <w:rsid w:val="00AF47D2"/>
    <w:rsid w:val="00B3608C"/>
    <w:rsid w:val="00BA7368"/>
    <w:rsid w:val="00BF2657"/>
    <w:rsid w:val="00C115FC"/>
    <w:rsid w:val="00C541A2"/>
    <w:rsid w:val="00C668DE"/>
    <w:rsid w:val="00C70C5C"/>
    <w:rsid w:val="00C83397"/>
    <w:rsid w:val="00CB02C4"/>
    <w:rsid w:val="00CB3026"/>
    <w:rsid w:val="00CC1F79"/>
    <w:rsid w:val="00D01845"/>
    <w:rsid w:val="00D26A00"/>
    <w:rsid w:val="00D71080"/>
    <w:rsid w:val="00D82C18"/>
    <w:rsid w:val="00E13BE7"/>
    <w:rsid w:val="00E7344B"/>
    <w:rsid w:val="00E95703"/>
    <w:rsid w:val="00EB0182"/>
    <w:rsid w:val="00F1574D"/>
    <w:rsid w:val="00F23E3E"/>
    <w:rsid w:val="00F504D6"/>
    <w:rsid w:val="00F62A15"/>
    <w:rsid w:val="00F955B5"/>
    <w:rsid w:val="00FA5D5D"/>
    <w:rsid w:val="00FB24E8"/>
    <w:rsid w:val="00FB6DE5"/>
    <w:rsid w:val="00FC3D65"/>
    <w:rsid w:val="00FE45CA"/>
    <w:rsid w:val="00FF2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30"/>
  <w15:docId w15:val="{F20326E9-F316-4B3A-9582-EFEC2E12E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autoRedefine/>
    <w:uiPriority w:val="9"/>
    <w:qFormat/>
    <w:rsid w:val="003453F7"/>
    <w:pPr>
      <w:keepNext/>
      <w:keepLines/>
      <w:numPr>
        <w:numId w:val="9"/>
      </w:numPr>
      <w:spacing w:before="120" w:after="240" w:line="260" w:lineRule="atLeast"/>
      <w:ind w:right="-79"/>
      <w:jc w:val="both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53F7"/>
    <w:pPr>
      <w:keepNext/>
      <w:keepLines/>
      <w:numPr>
        <w:ilvl w:val="1"/>
        <w:numId w:val="9"/>
      </w:numPr>
      <w:spacing w:before="120" w:after="240" w:line="280" w:lineRule="atLeast"/>
      <w:ind w:right="-79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53F7"/>
    <w:pPr>
      <w:keepNext/>
      <w:keepLines/>
      <w:numPr>
        <w:ilvl w:val="2"/>
        <w:numId w:val="9"/>
      </w:numPr>
      <w:spacing w:before="120" w:after="240" w:line="280" w:lineRule="atLeast"/>
      <w:ind w:left="851" w:right="-79" w:hanging="851"/>
      <w:jc w:val="both"/>
      <w:outlineLvl w:val="2"/>
    </w:pPr>
    <w:rPr>
      <w:rFonts w:ascii="Verdana" w:eastAsiaTheme="majorEastAsia" w:hAnsi="Verdana" w:cstheme="majorBidi"/>
      <w:b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53F7"/>
    <w:pPr>
      <w:keepNext/>
      <w:keepLines/>
      <w:numPr>
        <w:ilvl w:val="3"/>
        <w:numId w:val="9"/>
      </w:numPr>
      <w:spacing w:before="120" w:after="120" w:line="280" w:lineRule="atLeast"/>
      <w:ind w:right="-79"/>
      <w:jc w:val="both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53F7"/>
    <w:pPr>
      <w:keepNext/>
      <w:keepLines/>
      <w:numPr>
        <w:ilvl w:val="4"/>
        <w:numId w:val="9"/>
      </w:numPr>
      <w:spacing w:before="200" w:line="280" w:lineRule="atLeast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453F7"/>
    <w:pPr>
      <w:keepNext/>
      <w:keepLines/>
      <w:numPr>
        <w:ilvl w:val="5"/>
        <w:numId w:val="9"/>
      </w:numPr>
      <w:spacing w:before="200" w:line="280" w:lineRule="atLeast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53F7"/>
    <w:pPr>
      <w:keepNext/>
      <w:keepLines/>
      <w:numPr>
        <w:ilvl w:val="6"/>
        <w:numId w:val="9"/>
      </w:numPr>
      <w:spacing w:before="200" w:line="28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453F7"/>
    <w:pPr>
      <w:keepNext/>
      <w:keepLines/>
      <w:numPr>
        <w:ilvl w:val="7"/>
        <w:numId w:val="9"/>
      </w:numPr>
      <w:spacing w:before="200" w:line="280" w:lineRule="atLeast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453F7"/>
    <w:pPr>
      <w:keepNext/>
      <w:keepLines/>
      <w:numPr>
        <w:ilvl w:val="8"/>
        <w:numId w:val="9"/>
      </w:numPr>
      <w:spacing w:before="200" w:line="28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453F7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453F7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53F7"/>
    <w:rPr>
      <w:rFonts w:ascii="Verdana" w:eastAsiaTheme="majorEastAsia" w:hAnsi="Verdana" w:cstheme="majorBidi"/>
      <w:b/>
      <w:bCs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3453F7"/>
    <w:rPr>
      <w:rFonts w:ascii="Verdana" w:eastAsiaTheme="majorEastAsia" w:hAnsi="Verdana" w:cstheme="majorBidi"/>
      <w:b/>
      <w:bCs/>
      <w:iCs/>
      <w:sz w:val="1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453F7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453F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3453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bullet">
    <w:name w:val="listbullet"/>
    <w:basedOn w:val="Normal"/>
    <w:rsid w:val="003453F7"/>
    <w:pPr>
      <w:numPr>
        <w:numId w:val="8"/>
      </w:numPr>
      <w:tabs>
        <w:tab w:val="left" w:pos="567"/>
      </w:tabs>
      <w:spacing w:line="280" w:lineRule="atLeast"/>
      <w:jc w:val="both"/>
    </w:pPr>
    <w:rPr>
      <w:rFonts w:ascii="Book Antiqua" w:eastAsia="Calibri" w:hAnsi="Book Antiqua" w:cs="Times New Roman"/>
      <w:sz w:val="19"/>
      <w:szCs w:val="20"/>
    </w:rPr>
  </w:style>
  <w:style w:type="paragraph" w:styleId="NormalWeb">
    <w:name w:val="Normal (Web)"/>
    <w:basedOn w:val="Normal"/>
    <w:uiPriority w:val="99"/>
    <w:semiHidden/>
    <w:unhideWhenUsed/>
    <w:rsid w:val="00556D6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F2976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2BC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2BC7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AF47D2"/>
  </w:style>
  <w:style w:type="paragraph" w:styleId="Header">
    <w:name w:val="header"/>
    <w:basedOn w:val="Normal"/>
    <w:link w:val="HeaderChar"/>
    <w:uiPriority w:val="99"/>
    <w:unhideWhenUsed/>
    <w:rsid w:val="00AF47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47D2"/>
  </w:style>
  <w:style w:type="paragraph" w:styleId="Footer">
    <w:name w:val="footer"/>
    <w:basedOn w:val="Normal"/>
    <w:link w:val="FooterChar"/>
    <w:uiPriority w:val="99"/>
    <w:unhideWhenUsed/>
    <w:rsid w:val="00AF47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47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9681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44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359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31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50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44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81937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2927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21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1417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215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8734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rm.coe.int/16800cce5b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994</Words>
  <Characters>5671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CEAUSU Diana</cp:lastModifiedBy>
  <cp:revision>24</cp:revision>
  <dcterms:created xsi:type="dcterms:W3CDTF">2020-10-14T10:22:00Z</dcterms:created>
  <dcterms:modified xsi:type="dcterms:W3CDTF">2021-05-10T07:40:00Z</dcterms:modified>
</cp:coreProperties>
</file>